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186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  <w:lang w:val="en-US"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36"/>
          <w:highlight w:val="none"/>
          <w:lang w:val="en-US" w:eastAsia="zh-CN"/>
        </w:rPr>
        <w:t>广东文科绿色科技股份有限公司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highlight w:val="none"/>
          <w:lang w:val="en-US" w:eastAsia="zh-CN"/>
        </w:rPr>
        <w:t>潘肇英、李从文、聂勇、程玉姣、莫静怡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采取出具警示函措施的决定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广东文科绿色科技股份有限公司、潘肇英、李从文、聂勇、程玉姣、莫静怡：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经查，广东文科绿色科技股份有限公司（以下简称文科股份或公司）存在以下违规问题：</w:t>
      </w:r>
    </w:p>
    <w:p>
      <w:pPr>
        <w:widowControl w:val="0"/>
        <w:numPr>
          <w:ilvl w:val="0"/>
          <w:numId w:val="0"/>
        </w:numPr>
        <w:wordWrap/>
        <w:overflowPunct w:val="0"/>
        <w:adjustRightInd w:val="0"/>
        <w:snapToGrid w:val="0"/>
        <w:spacing w:beforeLines="0" w:afterLines="0" w:line="336" w:lineRule="auto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一、信用减值损失会计处理不恰当。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2023年底，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文科股份在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评估信用减值损失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时，一是未按照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抵债房产的可回收金额评估相关减值损失，少计减值损失156.7万元；二是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按单项重大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风险对已逾期的、信用风险显著增加的应收款项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行减值测试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，少计减值损失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291万元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，两者共同导致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2023年年报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多计利润总额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447.7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上述情形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符合《上市公司信息披露管理办法》(证监会令第182号，以下简称《信息披露管理办法》)第三条第一款、《企业会计准则第23号——金融资产转移》第五条和第六条第一款、《企业会计准则第22号——金融工具确认和计量》第四十八条第五款和第五十三条的规定。</w:t>
      </w:r>
    </w:p>
    <w:p>
      <w:pPr>
        <w:widowControl w:val="0"/>
        <w:numPr>
          <w:ilvl w:val="0"/>
          <w:numId w:val="0"/>
        </w:numPr>
        <w:wordWrap/>
        <w:overflowPunct w:val="0"/>
        <w:adjustRightInd w:val="0"/>
        <w:snapToGrid w:val="0"/>
        <w:spacing w:beforeLines="0" w:afterLines="0" w:line="336" w:lineRule="auto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二、2023年一季度报告存在差错。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经查，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文科股份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于2023年3月对某景观工程（标段二）确认收入1101万元，但公司4月初才收到第三方确认的产值进度确认资料，上述情形不符合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文科股份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工程施工收入确认政策，导致公司2023年一季度报告多计收入1101万元，多计利润152万元，上述情形不符合《信息披露管理办法》第三条第一款、《企业会计准则--基本准则》第十九条、《企业会计准则第14号——收入》第四条第一款的规定。</w:t>
      </w:r>
    </w:p>
    <w:p>
      <w:pPr>
        <w:widowControl w:val="0"/>
        <w:numPr>
          <w:ilvl w:val="-1"/>
          <w:numId w:val="0"/>
        </w:numPr>
        <w:wordWrap/>
        <w:overflowPunct w:val="0"/>
        <w:adjustRightInd/>
        <w:snapToGrid w:val="0"/>
        <w:spacing w:beforeLines="0" w:afterLines="0" w:line="336" w:lineRule="auto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三、公司股份回购管理不规范。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文科股份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2018年8月31日至2019年2月1日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实施股份回购计划，累计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回购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股份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9,585,832股，用于可转债转股。回购股票已于2022年1月31日届满三年期限，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9,43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304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股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未使用也未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注销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，但公司迟至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2024年7月才发布回购注销减资公告。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上述情形不符合《上市公司股份回购规则》（证监会公告〔202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号）第三条第二款和第十五条、《上市公司股份回购规则》（证监会公告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〔2023〕63号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）第三条第二款、第十七条的规定。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文科股份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董事长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潘肇英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，总经理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李从文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/>
        </w:rPr>
        <w:t>，财务总监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聂勇、时任董事会秘书程玉姣、董事会秘书莫静怡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未能按照《上市公司信息披露管理办法》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（证监会令第182号）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第四条的规定履行勤勉尽责义务，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对公司相关违规行为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负有主要责任，其中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潘肇英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李从文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聂勇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对公司全部违规行为负有主要责任,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程玉姣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、莫静怡对公司第三项违规行为负有主要责任。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根据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" w:eastAsia="zh-CN" w:bidi="ar-SA"/>
        </w:rPr>
        <w:t>上市公司</w:t>
      </w:r>
      <w:r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" w:eastAsia="zh-CN" w:bidi="ar-SA"/>
        </w:rPr>
        <w:t>信息披露管理办法》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（证监会令第182号）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第五十二条、《上市公司股份回购规则》（证监会公告〔2022〕4号）第三十六条、</w:t>
      </w:r>
      <w:r>
        <w:rPr>
          <w:rFonts w:hint="eastAsia" w:ascii="仿宋_GB2312" w:eastAsia="仿宋_GB2312" w:hAnsiTheme="minorEastAsia"/>
          <w:sz w:val="32"/>
          <w:szCs w:val="36"/>
          <w:highlight w:val="none"/>
          <w:lang w:eastAsia="zh-CN"/>
        </w:rPr>
        <w:t>《上市公司股份回购规则》（证监会公告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〔2023〕63号</w:t>
      </w:r>
      <w:r>
        <w:rPr>
          <w:rFonts w:hint="eastAsia" w:ascii="仿宋_GB2312" w:eastAsia="仿宋_GB2312" w:hAnsiTheme="minorEastAsia"/>
          <w:sz w:val="32"/>
          <w:szCs w:val="36"/>
          <w:highlight w:val="none"/>
          <w:lang w:eastAsia="zh-CN"/>
        </w:rPr>
        <w:t>）第三十七条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的规定，我局决定对文科股份、潘肇英、李从文、聂勇、程玉姣、莫静怡采取出具警示函的行政监管措施。你们应加强对企业会计准则、证券法律法规的学习，强化公司会计核算工作，依法真实、准确、完整、及时、公平地履行信息披露义务，于收到本决定书30日内向我局报送整改情况报告，并抄报深圳证券交易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-SA"/>
        </w:rPr>
        <w:t>如果对本监督管理措施不服，可以在收到本决定书之日起60日内向中国证券监督管理委员会提出行政复议申请,也可以在收到本决定书之日起6个月内向有管辖权的人民法院提起诉讼。复议与诉讼期间，上述监督管理措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施不停止执行。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抄送：证监会上市司、法治司；深圳证券交易所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11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overflowPunct w:val="0"/>
        <w:snapToGrid w:val="0"/>
        <w:spacing w:beforeLines="0" w:afterLines="0"/>
        <w:rPr>
          <w:rFonts w:hint="default"/>
          <w:sz w:val="2"/>
          <w:szCs w:val="2"/>
          <w:lang w:val="en-US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CA18F"/>
    <w:rsid w:val="2BD6FC01"/>
    <w:rsid w:val="2BEE77CB"/>
    <w:rsid w:val="2F1E3FC9"/>
    <w:rsid w:val="2F5C6CF7"/>
    <w:rsid w:val="36B3EDA1"/>
    <w:rsid w:val="37F37E13"/>
    <w:rsid w:val="3F5F11CA"/>
    <w:rsid w:val="3F7F3C33"/>
    <w:rsid w:val="3FDDF2DE"/>
    <w:rsid w:val="3FEF5DC3"/>
    <w:rsid w:val="467FD2E3"/>
    <w:rsid w:val="4B9BDEC5"/>
    <w:rsid w:val="4F9C649C"/>
    <w:rsid w:val="4FDCAA19"/>
    <w:rsid w:val="53EF57B4"/>
    <w:rsid w:val="575FAE3F"/>
    <w:rsid w:val="58FBAE80"/>
    <w:rsid w:val="59DF3F8D"/>
    <w:rsid w:val="5E3FF2E7"/>
    <w:rsid w:val="5E4FB9AD"/>
    <w:rsid w:val="6FDF52E2"/>
    <w:rsid w:val="6FFD233B"/>
    <w:rsid w:val="773FE31B"/>
    <w:rsid w:val="7BEB0A10"/>
    <w:rsid w:val="7BFF6ECE"/>
    <w:rsid w:val="7D5D4A03"/>
    <w:rsid w:val="7DA7BD76"/>
    <w:rsid w:val="7EF3FC04"/>
    <w:rsid w:val="7EFF6AAC"/>
    <w:rsid w:val="7F4B13E8"/>
    <w:rsid w:val="7F5FE741"/>
    <w:rsid w:val="7F7D1831"/>
    <w:rsid w:val="7FDBB271"/>
    <w:rsid w:val="7FEF91B0"/>
    <w:rsid w:val="B7BF3A50"/>
    <w:rsid w:val="B7FE0289"/>
    <w:rsid w:val="BB6D1CB4"/>
    <w:rsid w:val="BF7FDE16"/>
    <w:rsid w:val="DDD605A7"/>
    <w:rsid w:val="E7AB51F4"/>
    <w:rsid w:val="E7AD6184"/>
    <w:rsid w:val="EDBDB18B"/>
    <w:rsid w:val="EE4F21A5"/>
    <w:rsid w:val="EF7C1C76"/>
    <w:rsid w:val="F5B9D4D9"/>
    <w:rsid w:val="F5FC55F8"/>
    <w:rsid w:val="F653448A"/>
    <w:rsid w:val="F764B4EB"/>
    <w:rsid w:val="F7FF9ADB"/>
    <w:rsid w:val="FBDCA18F"/>
    <w:rsid w:val="FBDD4DF2"/>
    <w:rsid w:val="FBF7E179"/>
    <w:rsid w:val="FBF978A4"/>
    <w:rsid w:val="FD5CE4D5"/>
    <w:rsid w:val="FEB957AA"/>
    <w:rsid w:val="FEBF250E"/>
    <w:rsid w:val="FF9C3C44"/>
    <w:rsid w:val="FFC7C251"/>
    <w:rsid w:val="FFD4A110"/>
    <w:rsid w:val="FFDA3345"/>
    <w:rsid w:val="FFE5ABCC"/>
    <w:rsid w:val="FFECBBB3"/>
    <w:rsid w:val="FFFE7301"/>
    <w:rsid w:val="FFFFB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next w:val="1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Calibri" w:eastAsia="宋体" w:cs="Times New Roman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1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2024-08-20T05:20:00Z</dcterms:created>
  <dc:creator>黄明辉：主办人改稿</dc:creator>
  <cp:lastModifiedBy>黄明辉</cp:lastModifiedBy>
  <cp:lastPrinted>2024-11-09T10:12:00Z</cp:lastPrinted>
  <dcterms:modified xsi:type="dcterms:W3CDTF">2024-11-13T16:25:09Z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E589CAD752C2189A2BAFBC669205F7B2</vt:lpwstr>
  </property>
</Properties>
</file>