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bookmarkStart w:id="1" w:name="_GoBack"/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28"/>
          <w:szCs w:val="28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181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bookmarkEnd w:id="1"/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罗超采取</w:t>
      </w:r>
      <w:r>
        <w:rPr>
          <w:rFonts w:hint="default" w:ascii="方正小标宋简体" w:hAnsi="方正小标宋简体" w:eastAsia="方正小标宋简体" w:cs="方正小标宋简体"/>
          <w:spacing w:val="0"/>
          <w:szCs w:val="44"/>
          <w:lang w:val="en"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="0" w:beforeLines="0" w:afterLines="0" w:line="240" w:lineRule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24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罗超：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24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经查，</w:t>
      </w:r>
      <w:r>
        <w:rPr>
          <w:rFonts w:hint="eastAsia" w:ascii="仿宋_GB2312" w:eastAsia="仿宋_GB2312" w:cs="Times New Roman"/>
          <w:sz w:val="32"/>
          <w:szCs w:val="32"/>
          <w:lang w:val="en" w:eastAsia="zh-CN"/>
        </w:rPr>
        <w:t>你在担任珠海鸣则投资管理有限公司旗下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沣赢一号私募证券投资基金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的基金经理期间，</w:t>
      </w:r>
      <w:r>
        <w:rPr>
          <w:rFonts w:hint="eastAsia" w:ascii="仿宋_GB2312" w:eastAsia="仿宋_GB2312" w:cs="Times New Roman"/>
          <w:sz w:val="32"/>
          <w:szCs w:val="32"/>
          <w:lang w:val="en" w:eastAsia="zh-CN"/>
        </w:rPr>
        <w:t>存在私自向客户承诺保证本金不受损失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的违规情形，违反了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《私募投资基金监督管理暂行办法》（证监会令第105号，以下简称《私募办法》）</w:t>
      </w:r>
      <w:r>
        <w:rPr>
          <w:rFonts w:hint="eastAsia" w:ascii="仿宋_GB2312" w:hAnsi="宋体" w:eastAsia="仿宋_GB2312"/>
          <w:color w:val="auto"/>
          <w:sz w:val="32"/>
          <w:szCs w:val="32"/>
          <w:lang w:val="en" w:eastAsia="zh-CN"/>
        </w:rPr>
        <w:t>第二十三条第九项和《关于加强私募投资基金监管的若干规定》（中国证监会公告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〔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〕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号，以下简称《若干规定》</w:t>
      </w:r>
      <w:r>
        <w:rPr>
          <w:rFonts w:hint="eastAsia" w:ascii="仿宋_GB2312" w:hAnsi="宋体" w:eastAsia="仿宋_GB2312"/>
          <w:color w:val="auto"/>
          <w:sz w:val="32"/>
          <w:szCs w:val="32"/>
          <w:lang w:val="en" w:eastAsia="zh-CN"/>
        </w:rPr>
        <w:t>）第六条第一款第三项的规定。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24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" w:eastAsia="zh-CN"/>
        </w:rPr>
        <w:t>根据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val="en" w:eastAsia="zh-CN" w:bidi="ar-SA"/>
        </w:rPr>
        <w:t>《私募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办法》第三十三条和《若干规定》第十三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的规定，我局决定对你采取出具警示函的行政监管措施。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24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你如果对本监督管理措施不服，可在收到本决定书之日起60日内向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中国证券监督管理委员会提出行政复议申请；也可以在收到本决定书之日起6个月内向有管辖权的人民法院提</w:t>
      </w:r>
      <w:r>
        <w:rPr>
          <w:rFonts w:hint="eastAsia" w:ascii="仿宋_GB2312" w:hAnsi="仿宋_GB2312" w:eastAsia="仿宋_GB2312" w:cs="仿宋_GB2312"/>
          <w:sz w:val="32"/>
        </w:rPr>
        <w:t>起诉讼。复议与诉讼期间，上述监督管理措施不停止执行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false"/>
  <w:bordersDoNotSurroundFooter w:val="false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89EF"/>
    <w:rsid w:val="1FA55D38"/>
    <w:rsid w:val="4E6727D3"/>
    <w:rsid w:val="5EAB7B30"/>
    <w:rsid w:val="6BDB89EF"/>
    <w:rsid w:val="6EFF45FF"/>
    <w:rsid w:val="7AFBD046"/>
    <w:rsid w:val="7DFFE6DA"/>
    <w:rsid w:val="BEBC58A2"/>
    <w:rsid w:val="BFEB24A5"/>
    <w:rsid w:val="DD23C3A7"/>
    <w:rsid w:val="EDD1D462"/>
    <w:rsid w:val="FF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jc w:val="center"/>
    </w:pPr>
    <w:rPr>
      <w:rFonts w:ascii="Calibri" w:hAnsi="Calibri" w:eastAsia="黑体" w:cs="Times New Roman"/>
      <w:kern w:val="0"/>
      <w:sz w:val="4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445</Characters>
  <Lines>0</Lines>
  <Paragraphs>0</Paragraphs>
  <TotalTime>1</TotalTime>
  <ScaleCrop>false</ScaleCrop>
  <LinksUpToDate>false</LinksUpToDate>
  <CharactersWithSpaces>490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2024-10-26T16:28:00Z</dcterms:created>
  <dc:creator>林兰：处室相关人员阅办</dc:creator>
  <cp:lastModifiedBy>林兰</cp:lastModifiedBy>
  <cp:lastPrinted>2024-10-30T08:33:00Z</cp:lastPrinted>
  <dcterms:modified xsi:type="dcterms:W3CDTF">2024-11-06T09:55:17Z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0A57BA8195407B80D4251F67D3EA6CFE</vt:lpwstr>
  </property>
</Properties>
</file>