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bookmarkStart w:id="1" w:name="_GoBack"/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40"/>
          <w:szCs w:val="40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lang w:val="en-US"/>
        </w:rPr>
        <w:t>182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okfje5AEAAKoDAAAO&#10;AAAAZHJzL2Uyb0RvYy54bWytU8uu0zAQ3SPxD5b3NGlRLldR07u4pWwQVAI+YOpHYskv2W7T/gQ/&#10;gMQOVizZ8zdcPoOxG8oFNgiRxWTsGZ/MOT5Z3hyNJgcRonK2o/NZTYmwzHFl+46+eb15dE1JTGA5&#10;aGdFR08i0pvVwwfL0bdi4QanuQgEQWxsR9/RISXfVlVkgzAQZ84Li0XpgoGEy9BXPMCI6EZXi7q+&#10;qkYXuA+OiRhxd30u0lXBl1Kw9FLKKBLRHcXZUomhxF2O1WoJbR/AD4pNY8A/TGFAWfzoBWoNCcg+&#10;qD+gjGLBRSfTjDlTOSkVE4UDspnXv7F5NYAXhQuKE/1Fpvj/YNmLwzYQxTu6oMSCwSu6e/f569sP&#10;3768x3j36SNZZJFGH1vsvbXbMK2i34bM+CiDyW/kQo5F2NNFWHFMhOFm0zTz67qhhGHt6nGTEauf&#10;R32I6ZlwhuSko1rZzBpaODyP6dz6oyVva0tG9NriSY03ygBdIzUkTI1HHtH25XB0WvGN0jofiaHf&#10;3epADoA+2GxqfKYZfmnLX1lDHM59pZTboB0E8KeWk3TyqJBFK9M8gxGcEi3Q+TkrnQmU/ptOpK9t&#10;hhbFpRPRLPNZ2JztHD/h7ex9UP2AwqSwF2XsXERDFBEn82bH3V9jfv8XW30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zC+1ktYAAAAIAQAADwAAAAAAAAABACAAAAA4AAAAZHJzL2Rvd25yZXYueG1s&#10;UEsBAhQAFAAAAAgAh07iQCiR+N7kAQAAqgMAAA4AAAAAAAAAAQAgAAAAOwEAAGRycy9lMm9Eb2Mu&#10;eG1sUEsFBgAAAAAGAAYAWQEAAJEFAAAAAA=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Cs w:val="44"/>
          <w:lang w:eastAsia="zh-CN"/>
        </w:rPr>
      </w:pPr>
      <w:bookmarkStart w:id="0" w:name="quanwen"/>
      <w:r>
        <w:rPr>
          <w:rFonts w:hint="eastAsia" w:ascii="方正小标宋简体" w:hAnsi="方正小标宋简体" w:eastAsia="方正小标宋简体" w:cs="方正小标宋简体"/>
          <w:spacing w:val="0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  <w:lang w:eastAsia="zh-CN"/>
        </w:rPr>
        <w:t>对珠海鸣则投资管理有限公司采取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Cs w:val="44"/>
          <w:lang w:eastAsia="zh-CN"/>
        </w:rPr>
        <w:t>出具警示函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</w:rPr>
        <w:t>措施的决定</w:t>
      </w:r>
    </w:p>
    <w:p>
      <w:pPr>
        <w:snapToGrid w:val="0"/>
        <w:spacing w:before="0" w:beforeLines="0" w:afterLines="0" w:line="240" w:lineRule="auto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Lines="0" w:after="0" w:afterLines="0" w:line="336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珠海鸣则投资管理有限公司：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经查，你公司在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开展私募投资基金管理业务过程中，存在以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lang w:val="en-US" w:eastAsia="zh-CN"/>
        </w:rPr>
        <w:t>下违规情形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20"/>
          <w:lang w:val="en-US" w:eastAsia="zh-CN"/>
        </w:rPr>
        <w:t>：一是</w:t>
      </w: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你公司未及时维护和管理信披备份系统投资者查询账号；二是你公司未严格执行公司管理制度；三是你公司未科学有效评估、全面了解投资者情况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20"/>
          <w:lang w:val="en-US" w:eastAsia="zh-CN"/>
        </w:rPr>
        <w:t>。上述行为</w:t>
      </w: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违反了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《私募投资基金监督管理暂行办法》（证监会令第105号，以下简称《私募办法》）</w:t>
      </w: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第四条第一款和《证券期货投资者适当性管理办法》</w:t>
      </w:r>
      <w:r>
        <w:rPr>
          <w:rFonts w:hint="eastAsia" w:ascii="仿宋_GB2312" w:hAnsi="仿宋_GB2312" w:eastAsia="仿宋_GB2312" w:cs="仿宋_GB2312"/>
          <w:spacing w:val="0"/>
          <w:sz w:val="32"/>
          <w:highlight w:val="none"/>
          <w:lang w:eastAsia="zh-CN"/>
        </w:rPr>
        <w:t>（证监会令第</w:t>
      </w:r>
      <w:r>
        <w:rPr>
          <w:rFonts w:hint="eastAsia" w:ascii="仿宋_GB2312" w:hAnsi="仿宋_GB2312" w:eastAsia="仿宋_GB2312" w:cs="仿宋_GB2312"/>
          <w:spacing w:val="0"/>
          <w:sz w:val="32"/>
          <w:highlight w:val="none"/>
          <w:lang w:val="en-US" w:eastAsia="zh-CN"/>
        </w:rPr>
        <w:t>130</w:t>
      </w:r>
      <w:r>
        <w:rPr>
          <w:rFonts w:hint="eastAsia" w:ascii="仿宋_GB2312" w:hAnsi="仿宋_GB2312" w:eastAsia="仿宋_GB2312" w:cs="仿宋_GB2312"/>
          <w:spacing w:val="0"/>
          <w:sz w:val="32"/>
          <w:highlight w:val="none"/>
          <w:lang w:eastAsia="zh-CN"/>
        </w:rPr>
        <w:t>号，经证监会令第</w:t>
      </w:r>
      <w:r>
        <w:rPr>
          <w:rFonts w:hint="eastAsia" w:ascii="仿宋_GB2312" w:hAnsi="仿宋_GB2312" w:eastAsia="仿宋_GB2312" w:cs="仿宋_GB2312"/>
          <w:spacing w:val="0"/>
          <w:sz w:val="32"/>
          <w:highlight w:val="none"/>
          <w:lang w:val="en-US" w:eastAsia="zh-CN"/>
        </w:rPr>
        <w:t>177号、第202号修正，</w:t>
      </w:r>
      <w:r>
        <w:rPr>
          <w:rFonts w:hint="eastAsia" w:ascii="仿宋_GB2312" w:hAnsi="仿宋_GB2312" w:eastAsia="仿宋_GB2312" w:cs="仿宋_GB2312"/>
          <w:spacing w:val="0"/>
          <w:sz w:val="32"/>
          <w:highlight w:val="none"/>
          <w:lang w:eastAsia="zh-CN"/>
        </w:rPr>
        <w:t>以下简称《适当性办法》）</w:t>
      </w: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第三条规定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val="en-US" w:eastAsia="zh-CN"/>
        </w:rPr>
        <w:t>根据《私募办法》</w:t>
      </w: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第三十三条和</w:t>
      </w:r>
      <w:r>
        <w:rPr>
          <w:rFonts w:hint="eastAsia" w:ascii="仿宋_GB2312" w:hAnsi="仿宋_GB2312" w:eastAsia="仿宋_GB2312" w:cs="仿宋_GB2312"/>
          <w:spacing w:val="0"/>
          <w:sz w:val="32"/>
          <w:highlight w:val="none"/>
          <w:lang w:eastAsia="zh-CN"/>
        </w:rPr>
        <w:t>《适当性办法》第三十七条</w:t>
      </w: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的规定，现决定对你公司采取出具警示函的行政监管措施。</w:t>
      </w:r>
      <w:r>
        <w:rPr>
          <w:rFonts w:hint="eastAsia" w:ascii="仿宋_GB2312" w:hAnsi="仿宋_GB2312" w:eastAsia="仿宋_GB2312" w:cs="仿宋_GB2312"/>
          <w:sz w:val="32"/>
        </w:rPr>
        <w:t>你公司应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高度重视</w:t>
      </w:r>
      <w:r>
        <w:rPr>
          <w:rFonts w:hint="eastAsia" w:ascii="仿宋_GB2312" w:hAnsi="仿宋_GB2312" w:eastAsia="仿宋_GB2312" w:cs="仿宋_GB2312"/>
          <w:sz w:val="32"/>
        </w:rPr>
        <w:t>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采取切实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有效的措施</w:t>
      </w:r>
      <w:r>
        <w:rPr>
          <w:rFonts w:hint="eastAsia" w:ascii="仿宋_GB2312" w:hAnsi="仿宋_GB2312" w:eastAsia="仿宋_GB2312" w:cs="仿宋_GB2312"/>
          <w:spacing w:val="0"/>
          <w:sz w:val="32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对存在的问题进行整改，对相关责任人员进行问责，并在收到本决定书之日起</w:t>
      </w:r>
      <w:r>
        <w:rPr>
          <w:rFonts w:hint="eastAsia" w:ascii="仿宋_GB2312" w:hAnsi="仿宋_GB2312" w:eastAsia="仿宋_GB2312" w:cs="仿宋_GB2312"/>
          <w:spacing w:val="0"/>
          <w:sz w:val="32"/>
          <w:lang w:val="en-US" w:eastAsia="zh-CN"/>
        </w:rPr>
        <w:t>30日内</w:t>
      </w:r>
      <w:r>
        <w:rPr>
          <w:rFonts w:hint="eastAsia" w:ascii="仿宋_GB2312" w:hAnsi="仿宋_GB2312" w:eastAsia="仿宋_GB2312" w:cs="仿宋_GB2312"/>
          <w:spacing w:val="0"/>
          <w:sz w:val="32"/>
          <w:lang w:eastAsia="zh-CN"/>
        </w:rPr>
        <w:t>向我局</w:t>
      </w:r>
      <w:r>
        <w:rPr>
          <w:rFonts w:hint="eastAsia" w:ascii="仿宋_GB2312" w:hAnsi="仿宋_GB2312" w:eastAsia="仿宋_GB2312" w:cs="仿宋_GB2312"/>
          <w:spacing w:val="0"/>
          <w:sz w:val="32"/>
        </w:rPr>
        <w:t>提交书面整改报</w:t>
      </w:r>
      <w:r>
        <w:rPr>
          <w:rFonts w:hint="eastAsia" w:ascii="仿宋_GB2312" w:hAnsi="仿宋_GB2312" w:eastAsia="仿宋_GB2312" w:cs="仿宋_GB2312"/>
          <w:sz w:val="32"/>
        </w:rPr>
        <w:t>告</w:t>
      </w:r>
      <w:r>
        <w:rPr>
          <w:rFonts w:hint="eastAsia" w:ascii="仿宋_GB2312" w:hAnsi="仿宋_GB2312" w:eastAsia="仿宋_GB2312" w:cs="仿宋"/>
          <w:color w:val="auto"/>
          <w:sz w:val="32"/>
          <w:szCs w:val="30"/>
          <w:lang w:val="en-US" w:eastAsia="zh-CN"/>
        </w:rPr>
        <w:t>。</w:t>
      </w:r>
    </w:p>
    <w:p>
      <w:pPr>
        <w:overflowPunct w:val="0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如果对本监督管理措施不服，可以在收到本决定书之日起60日内向中国证券监督管理委员会提出行政复议申请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</w:rPr>
        <w:t>也可以在收到本决定书之日起6个月内向有管辖权的人民法院提起诉讼。复议与诉讼期间，上述监督管理措施不停止执行。</w:t>
      </w:r>
    </w:p>
    <w:p>
      <w:pPr>
        <w:pStyle w:val="9"/>
        <w:widowControl w:val="0"/>
        <w:overflowPunct w:val="0"/>
        <w:snapToGrid w:val="0"/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21"/>
          <w:szCs w:val="21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 w:cs="Times New Roman"/>
          <w:spacing w:val="8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hint="eastAsia" w:ascii="仿宋_GB2312" w:eastAsia="仿宋_GB2312"/>
          <w:spacing w:val="8"/>
          <w:sz w:val="28"/>
          <w:lang w:val="en-US" w:eastAsia="zh-CN"/>
        </w:rPr>
      </w:pPr>
      <w:r>
        <w:rPr>
          <w:rFonts w:hint="eastAsia" w:ascii="仿宋_GB2312" w:eastAsia="仿宋_GB2312"/>
          <w:spacing w:val="8"/>
          <w:sz w:val="28"/>
        </w:rPr>
        <w:t>抄送：</w:t>
      </w:r>
      <w:r>
        <w:rPr>
          <w:rFonts w:hint="eastAsia" w:ascii="仿宋_GB2312" w:eastAsia="仿宋_GB2312"/>
          <w:spacing w:val="8"/>
          <w:sz w:val="28"/>
          <w:lang w:eastAsia="zh-CN"/>
        </w:rPr>
        <w:t>证监会市场二司、法治司；中国证券投资基金业协会。</w:t>
      </w:r>
    </w:p>
    <w:p>
      <w:pPr>
        <w:pBdr>
          <w:top w:val="single" w:color="auto" w:sz="4" w:space="6"/>
        </w:pBdr>
        <w:adjustRightInd w:val="0"/>
        <w:snapToGrid w:val="0"/>
        <w:spacing w:after="109" w:afterLines="35"/>
        <w:ind w:firstLine="318"/>
        <w:jc w:val="left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</w:t>
      </w:r>
      <w:r>
        <w:rPr>
          <w:rFonts w:hint="eastAsia" w:ascii="仿宋_GB2312" w:eastAsia="仿宋_GB2312"/>
          <w:spacing w:val="8"/>
          <w:sz w:val="28"/>
        </w:rPr>
        <w:t xml:space="preserve">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4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/>
        </w:rPr>
        <w:t>1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1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4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pBdr>
          <w:top w:val="single" w:color="auto" w:sz="8" w:space="7"/>
        </w:pBdr>
        <w:overflowPunct w:val="0"/>
        <w:adjustRightInd w:val="0"/>
        <w:snapToGrid w:val="0"/>
        <w:spacing w:beforeLines="0" w:after="0" w:afterLines="0"/>
        <w:ind w:firstLine="0"/>
        <w:jc w:val="left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snapToGrid w:val="0"/>
        <w:spacing w:beforeLines="0" w:afterLines="0"/>
        <w:rPr>
          <w:sz w:val="2"/>
          <w:szCs w:val="2"/>
        </w:rPr>
      </w:pPr>
    </w:p>
    <w:bookmarkEnd w:id="1"/>
    <w:sectPr>
      <w:headerReference r:id="rId3" w:type="default"/>
      <w:footerReference r:id="rId4" w:type="default"/>
      <w:pgSz w:w="11906" w:h="16838"/>
      <w:pgMar w:top="2097" w:right="1474" w:bottom="1984" w:left="1587" w:header="851" w:footer="158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true"/>
  <w:bordersDoNotSurroundFooter w:val="true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D7A659"/>
    <w:rsid w:val="21F8CFBF"/>
    <w:rsid w:val="3A774403"/>
    <w:rsid w:val="3BDA68C0"/>
    <w:rsid w:val="62BED537"/>
    <w:rsid w:val="74F72561"/>
    <w:rsid w:val="7EDCFD4A"/>
    <w:rsid w:val="7FDDA74A"/>
    <w:rsid w:val="8FBF17DD"/>
    <w:rsid w:val="BF9D58C8"/>
    <w:rsid w:val="D4FB5430"/>
    <w:rsid w:val="D7FFF4A4"/>
    <w:rsid w:val="F76F0CF7"/>
    <w:rsid w:val="F7D7A659"/>
    <w:rsid w:val="FF5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jc w:val="center"/>
    </w:pPr>
    <w:rPr>
      <w:rFonts w:eastAsia="黑体"/>
      <w:kern w:val="0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0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577</Characters>
  <Lines>0</Lines>
  <Paragraphs>0</Paragraphs>
  <TotalTime>3</TotalTime>
  <ScaleCrop>false</ScaleCrop>
  <LinksUpToDate>false</LinksUpToDate>
  <CharactersWithSpaces>618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2024-10-27T00:23:00Z</dcterms:created>
  <dc:creator>林兰：处室相关人员阅办</dc:creator>
  <cp:lastModifiedBy>林兰</cp:lastModifiedBy>
  <cp:lastPrinted>2024-10-30T08:33:00Z</cp:lastPrinted>
  <dcterms:modified xsi:type="dcterms:W3CDTF">2024-11-06T09:53:53Z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589B11217B1D79BC4A251F67E475431A</vt:lpwstr>
  </property>
</Properties>
</file>