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4"/>
          <w:szCs w:val="44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18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BHrGhf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对广东同创基金管理有限公司采取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责令改正措施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的决定</w:t>
      </w:r>
    </w:p>
    <w:p>
      <w:pPr>
        <w:snapToGrid w:val="0"/>
        <w:spacing w:before="0" w:beforeLines="0" w:afterLines="0" w:line="240" w:lineRule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广东同创基金管理有限公司：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经查，你公司在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下违规情形：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是你公司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3名专职人员均未取得基金从业资格；二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你公司管理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广州市同创汇产业投资合伙企业（有限合伙）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向投资者分配的收益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不与投资项目的资产、收益、风险等情况挂钩；三是你公司未按规定向投资者履行信息披露义务。上述行为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违反了《私募投资基金监督管理条例》（国务院令第762号，以下简称《私募条例》）第三条第四款、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《私募投资基金监督管理暂行办法》（证监会令第105号，以下简称《私募办法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》）第二十三条第九项、第二十四条和《关于加强私募投资基金监管的若干规定》（中国证监会公告〔2020〕71号，以下简称《若干规定》）第九条第一款第六项的规定。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根据《私募条例》第四十条第二款、《私募办法》第三十三条和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《若干规定》第十三条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第一款的规定，现决定对你公司采取责令改正的行政监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管措施。</w:t>
      </w:r>
      <w:r>
        <w:rPr>
          <w:rFonts w:hint="eastAsia" w:ascii="仿宋_GB2312" w:hAnsi="仿宋_GB2312" w:eastAsia="仿宋_GB2312" w:cs="仿宋_GB2312"/>
          <w:sz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抄送：证监会市场二司、法治司；中国证券投资基金业协会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11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overflowPunct w:val="0"/>
        <w:snapToGrid w:val="0"/>
        <w:spacing w:beforeLines="0" w:afterLines="0"/>
        <w:rPr>
          <w:sz w:val="2"/>
          <w:szCs w:val="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26.53.164.178:8088/GDZJJ/OfficeServer;jsessionid=4E60ECF63CC53FDBF3DE7C6A9DED9398"/>
  </w:docVars>
  <w:rsids>
    <w:rsidRoot w:val="5E3B0A1E"/>
    <w:rsid w:val="2ECDF07B"/>
    <w:rsid w:val="3FFEBEAA"/>
    <w:rsid w:val="3FFFCFCB"/>
    <w:rsid w:val="42CB6051"/>
    <w:rsid w:val="5E3B0A1E"/>
    <w:rsid w:val="5FAC7A85"/>
    <w:rsid w:val="6CBF4BD4"/>
    <w:rsid w:val="6D3E9B83"/>
    <w:rsid w:val="6FEF0BF2"/>
    <w:rsid w:val="76CDC245"/>
    <w:rsid w:val="7B6C6790"/>
    <w:rsid w:val="7EE77FB4"/>
    <w:rsid w:val="7F55680F"/>
    <w:rsid w:val="7FE3E16D"/>
    <w:rsid w:val="7FF7EBAE"/>
    <w:rsid w:val="A4F72B93"/>
    <w:rsid w:val="B7FF0FF7"/>
    <w:rsid w:val="CDD564C1"/>
    <w:rsid w:val="DBFBF777"/>
    <w:rsid w:val="DDEEE51A"/>
    <w:rsid w:val="DEFF3EBA"/>
    <w:rsid w:val="E7FAAD0F"/>
    <w:rsid w:val="EFFF22FC"/>
    <w:rsid w:val="F0FCFF34"/>
    <w:rsid w:val="F36798D2"/>
    <w:rsid w:val="F56CAA35"/>
    <w:rsid w:val="F7973EE7"/>
    <w:rsid w:val="F9F7800C"/>
    <w:rsid w:val="FBE58195"/>
    <w:rsid w:val="FBFF4F11"/>
    <w:rsid w:val="FBFF87BC"/>
    <w:rsid w:val="FD8C504F"/>
    <w:rsid w:val="FFD14092"/>
    <w:rsid w:val="FFD77690"/>
    <w:rsid w:val="FFDB3322"/>
    <w:rsid w:val="FFFCDB2F"/>
    <w:rsid w:val="FFFFC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2023-03-06T07:21:00Z</dcterms:created>
  <dc:creator>聂国栋</dc:creator>
  <cp:lastModifiedBy>林兰：处室相关人员阅办</cp:lastModifiedBy>
  <dcterms:modified xsi:type="dcterms:W3CDTF">2024-11-14T10:27:06Z</dcterms:modified>
  <dc:title>〔2023〕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