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 w:themeColor="text1"/>
          <w:spacing w:val="1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pacing w:val="12"/>
          <w:sz w:val="28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Times New Roman" w:eastAsia="仿宋_GB2312" w:cs="Times New Roman"/>
          <w:color w:val="000000" w:themeColor="text1"/>
          <w:spacing w:val="12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eastAsia="仿宋_GB2312" w:cs="Times New Roman"/>
          <w:color w:val="000000" w:themeColor="text1"/>
          <w:spacing w:val="12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spacing w:val="12"/>
          <w:sz w:val="28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仿宋_GB2312" w:hAnsi="Times New Roman" w:eastAsia="仿宋_GB2312" w:cs="Times New Roman"/>
          <w:color w:val="000000" w:themeColor="text1"/>
          <w:spacing w:val="12"/>
          <w:sz w:val="28"/>
          <w:lang w:val="en-US"/>
          <w14:textFill>
            <w14:solidFill>
              <w14:schemeClr w14:val="tx1"/>
            </w14:solidFill>
          </w14:textFill>
        </w:rPr>
        <w:t>192</w:t>
      </w:r>
      <w:r>
        <w:rPr>
          <w:rFonts w:hint="eastAsia" w:ascii="仿宋_GB2312" w:hAnsi="Times New Roman" w:eastAsia="仿宋_GB2312" w:cs="Times New Roman"/>
          <w:color w:val="000000" w:themeColor="text1"/>
          <w:spacing w:val="12"/>
          <w:sz w:val="28"/>
          <w14:textFill>
            <w14:solidFill>
              <w14:schemeClr w14:val="tx1"/>
            </w14:solidFill>
          </w14:textFill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富力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地产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股份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、李思廉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、张力、胡杰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出具警示函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措施的决定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Times New Roman"/>
          <w:color w:val="000000" w:themeColor="text1"/>
          <w:kern w:val="0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pacing w:val="0"/>
          <w:kern w:val="0"/>
          <w:sz w:val="32"/>
          <w14:textFill>
            <w14:solidFill>
              <w14:schemeClr w14:val="tx1"/>
            </w14:solidFill>
          </w14:textFill>
        </w:rPr>
        <w:t>广州富力地产股份有限公司、李思廉、</w:t>
      </w:r>
      <w:r>
        <w:rPr>
          <w:rFonts w:hint="eastAsia" w:ascii="仿宋_GB2312" w:hAnsi="仿宋_GB2312" w:eastAsia="仿宋_GB2312"/>
          <w:color w:val="000000" w:themeColor="text1"/>
          <w:spacing w:val="0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张力、</w:t>
      </w:r>
      <w:r>
        <w:rPr>
          <w:rFonts w:hint="eastAsia" w:ascii="仿宋_GB2312" w:hAnsi="仿宋_GB2312" w:eastAsia="仿宋_GB2312"/>
          <w:color w:val="000000" w:themeColor="text1"/>
          <w:spacing w:val="0"/>
          <w:kern w:val="0"/>
          <w:sz w:val="32"/>
          <w14:textFill>
            <w14:solidFill>
              <w14:schemeClr w14:val="tx1"/>
            </w14:solidFill>
          </w14:textFill>
        </w:rPr>
        <w:t>胡杰：</w:t>
      </w:r>
    </w:p>
    <w:p>
      <w:pPr>
        <w:overflowPunct w:val="0"/>
        <w:snapToGrid w:val="0"/>
        <w:spacing w:beforeLines="0" w:afterLines="0" w:line="288" w:lineRule="auto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经查，</w:t>
      </w:r>
      <w:r>
        <w:rPr>
          <w:rFonts w:hint="eastAsia" w:ascii="仿宋_GB2312" w:hAnsi="仿宋_GB2312" w:eastAsia="仿宋_GB2312"/>
          <w:color w:val="000000" w:themeColor="text1"/>
          <w:spacing w:val="0"/>
          <w:kern w:val="0"/>
          <w:sz w:val="32"/>
          <w14:textFill>
            <w14:solidFill>
              <w14:schemeClr w14:val="tx1"/>
            </w14:solidFill>
          </w14:textFill>
        </w:rPr>
        <w:t>广州富力地产股份有限公司</w:t>
      </w:r>
      <w:r>
        <w:rPr>
          <w:rFonts w:hint="eastAsia" w:ascii="仿宋_GB2312" w:hAnsi="仿宋_GB2312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（以下简称富力地产）作为公司债券发行人，</w:t>
      </w:r>
      <w:r>
        <w:rPr>
          <w:rFonts w:hint="eastAsia" w:ascii="仿宋_GB2312" w:hAnsi="仿宋_GB2312" w:eastAsia="仿宋_GB2312" w:cs="Times New Roman"/>
          <w:b w:val="0"/>
          <w:bCs w:val="0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未及时披露多笔有息债务、商票逾期以及公司被列为失信被执行人等重大事项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违反了《公司债券发行与交易管理办法》（证监会令第180号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第四条、第五十四条第一款、第二款第四项和第十一项，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《公司债券发行与交易管理办法》（证监会令第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第四条、第五十四条第一款、第二款第四项和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第十二项，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《公司信用类债券信息披露管理办法》（中国人民银行中华人民共和国国家发展和改革委员会 中国证券监督管理委员会公告〔2020〕第22号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，下同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第五条第一款、第七条第一款、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第一款、第二款第十四项、第十五项和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实际控制人、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时任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董事长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李思廉，实际控制人、时任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董事、行政总裁张力，时任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信息披露事务负责人胡杰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《公司债券发行与交易管理办法》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（证监会令第180号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第五十三条第三款、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《公司信用类债券信息披露管理办法》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第七条第一款的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规定保证公司履行信息披露义务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对上述有关事项负有主要责任。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《公司债券发行与交易管理办法》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（证监会令第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第六十八条、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《公司债券发行与交易管理办法》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（证监会令第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第六十九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规定，我局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富力地产、李思廉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、张力、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胡杰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采取出具警示函的行政监管措施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你们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应当高度重视存在的有关问题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，切实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进行整改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依法依规履行信息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披露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义务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维护债券持有人的合法权益。公司应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于收到本决定书30日内向我局报送整改报告，并抄报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上海证券交易所。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8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抄送：证监会债券司、法治司；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上海证券交易所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，</w:t>
      </w:r>
      <w:r>
        <w:rPr>
          <w:rFonts w:hint="eastAsia" w:ascii="仿宋_GB2312" w:eastAsia="仿宋_GB2312"/>
          <w:spacing w:val="8"/>
          <w:sz w:val="28"/>
        </w:rPr>
        <w:t>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，</w:t>
      </w:r>
      <w:r>
        <w:rPr>
          <w:rFonts w:hint="eastAsia" w:ascii="仿宋_GB2312" w:eastAsia="仿宋_GB2312"/>
          <w:spacing w:val="8"/>
          <w:sz w:val="28"/>
        </w:rPr>
        <w:t>北京证券交易所；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中国证券业协会；</w:t>
      </w:r>
      <w:r>
        <w:rPr>
          <w:rFonts w:hint="eastAsia" w:ascii="仿宋_GB2312" w:eastAsia="仿宋_GB2312"/>
          <w:color w:val="000000" w:themeColor="text1"/>
          <w:spacing w:val="11"/>
          <w:sz w:val="28"/>
          <w:szCs w:val="20"/>
          <w:lang w:eastAsia="zh-CN"/>
          <w14:textFill>
            <w14:solidFill>
              <w14:schemeClr w14:val="tx1"/>
            </w14:solidFill>
          </w14:textFill>
        </w:rPr>
        <w:t>招商</w:t>
      </w:r>
      <w:r>
        <w:rPr>
          <w:rFonts w:hint="eastAsia" w:ascii="仿宋_GB2312" w:hAnsi="Times New Roman" w:eastAsia="仿宋_GB2312"/>
          <w:color w:val="000000" w:themeColor="text1"/>
          <w:spacing w:val="11"/>
          <w:sz w:val="28"/>
          <w:szCs w:val="20"/>
          <w:lang w:eastAsia="zh-CN"/>
          <w14:textFill>
            <w14:solidFill>
              <w14:schemeClr w14:val="tx1"/>
            </w14:solidFill>
          </w14:textFill>
        </w:rPr>
        <w:t>证券股份有限公司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20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4050"/>
    <w:rsid w:val="373D6BA7"/>
    <w:rsid w:val="39FFF47D"/>
    <w:rsid w:val="3BF40DFC"/>
    <w:rsid w:val="3D7F7B3D"/>
    <w:rsid w:val="3DFD5E75"/>
    <w:rsid w:val="61DDFE19"/>
    <w:rsid w:val="695FDE3F"/>
    <w:rsid w:val="6FE35610"/>
    <w:rsid w:val="7B9F4050"/>
    <w:rsid w:val="7BF32BA1"/>
    <w:rsid w:val="7BFF101C"/>
    <w:rsid w:val="7CFFC60D"/>
    <w:rsid w:val="9A36C638"/>
    <w:rsid w:val="B3FF600E"/>
    <w:rsid w:val="B67E8D43"/>
    <w:rsid w:val="BA9F3C75"/>
    <w:rsid w:val="BF3E008A"/>
    <w:rsid w:val="BFFC0F70"/>
    <w:rsid w:val="CF7D9793"/>
    <w:rsid w:val="DBE79809"/>
    <w:rsid w:val="DEFEDD2A"/>
    <w:rsid w:val="DF9F97B2"/>
    <w:rsid w:val="DFBC9613"/>
    <w:rsid w:val="EDFD17F9"/>
    <w:rsid w:val="F7FC55F4"/>
    <w:rsid w:val="FBF69E21"/>
    <w:rsid w:val="FD3D25FB"/>
    <w:rsid w:val="FFBB4ED3"/>
    <w:rsid w:val="FF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2024-11-16T01:41:00Z</dcterms:created>
  <dc:creator>陈晓丽：会签处室经办人</dc:creator>
  <cp:lastModifiedBy>陈晓丽</cp:lastModifiedBy>
  <dcterms:modified xsi:type="dcterms:W3CDTF">2024-11-21T10:30:13Z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A7421BFCCAF9ADBB16533C67837E71C8</vt:lpwstr>
  </property>
</Properties>
</file>