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36"/>
          <w:szCs w:val="36"/>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w:t>
      </w:r>
      <w:r>
        <w:rPr>
          <w:rFonts w:hint="default" w:ascii="仿宋_GB2312" w:eastAsia="仿宋_GB2312" w:cs="Times New Roman"/>
          <w:color w:val="000000"/>
          <w:spacing w:val="12"/>
          <w:sz w:val="28"/>
          <w:lang w:val="en-US"/>
        </w:rPr>
        <w:t>21</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ML7WS1gAAAAgBAAAPAAAAAAAAAAEAIAAAADgAAABkcnMvZG93bnJldi54bWxQ&#10;SwECFAAUAAAACACHTuJAIhmvX+MBAACqAwAADgAAAAAAAAABACAAAAA7AQAAZHJzL2Uyb0RvYy54&#10;bWxQSwUGAAAAAAYABgBZAQAAkAUAAAAA&#10;">
                <v:fill on="f" focussize="0,0"/>
                <v:stroke weight="1pt" color="#FF0000" joinstyle="round"/>
                <v:imagedata o:title=""/>
                <o:lock v:ext="edit" aspectratio="f"/>
              </v:line>
            </w:pict>
          </mc:Fallback>
        </mc:AlternateContent>
      </w:r>
    </w:p>
    <w:p>
      <w:pPr>
        <w:jc w:val="center"/>
        <w:rPr>
          <w:rFonts w:hint="eastAsia"/>
          <w:sz w:val="28"/>
          <w:szCs w:val="28"/>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Cs w:val="44"/>
          <w:lang w:val="en" w:eastAsia="zh-CN"/>
        </w:rPr>
      </w:pPr>
      <w:bookmarkStart w:id="0" w:name="quanwen"/>
      <w:r>
        <w:rPr>
          <w:rFonts w:hint="eastAsia" w:ascii="方正小标宋简体" w:hAnsi="方正小标宋简体" w:eastAsia="方正小标宋简体" w:cs="方正小标宋简体"/>
          <w:spacing w:val="0"/>
          <w:szCs w:val="44"/>
        </w:rPr>
        <w:t>关于</w:t>
      </w:r>
      <w:r>
        <w:rPr>
          <w:rFonts w:hint="eastAsia" w:ascii="方正小标宋简体" w:hAnsi="方正小标宋简体" w:eastAsia="方正小标宋简体" w:cs="方正小标宋简体"/>
          <w:spacing w:val="0"/>
          <w:szCs w:val="44"/>
          <w:lang w:eastAsia="zh-CN"/>
        </w:rPr>
        <w:t>对</w:t>
      </w:r>
      <w:r>
        <w:rPr>
          <w:rFonts w:hint="eastAsia" w:ascii="方正小标宋简体" w:hAnsi="方正小标宋简体" w:eastAsia="方正小标宋简体" w:cs="方正小标宋简体"/>
          <w:spacing w:val="0"/>
          <w:szCs w:val="44"/>
          <w:lang w:val="en" w:eastAsia="zh-CN"/>
        </w:rPr>
        <w:t>珠海通沛股权投资管理合伙企业</w:t>
      </w: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Cs w:val="44"/>
        </w:rPr>
      </w:pPr>
      <w:r>
        <w:rPr>
          <w:rFonts w:hint="eastAsia" w:ascii="方正小标宋简体" w:hAnsi="方正小标宋简体" w:eastAsia="方正小标宋简体" w:cs="方正小标宋简体"/>
          <w:spacing w:val="0"/>
          <w:szCs w:val="44"/>
          <w:lang w:val="en" w:eastAsia="zh-CN"/>
        </w:rPr>
        <w:t>（有限合伙）</w:t>
      </w:r>
      <w:r>
        <w:rPr>
          <w:rFonts w:hint="eastAsia" w:ascii="方正小标宋简体" w:hAnsi="方正小标宋简体" w:eastAsia="方正小标宋简体" w:cs="方正小标宋简体"/>
          <w:spacing w:val="0"/>
          <w:szCs w:val="44"/>
          <w:lang w:eastAsia="zh-CN"/>
        </w:rPr>
        <w:t>采取责令改正</w:t>
      </w:r>
      <w:r>
        <w:rPr>
          <w:rFonts w:hint="eastAsia" w:ascii="方正小标宋简体" w:hAnsi="方正小标宋简体" w:eastAsia="方正小标宋简体" w:cs="方正小标宋简体"/>
          <w:spacing w:val="0"/>
          <w:szCs w:val="44"/>
        </w:rPr>
        <w:t>措施的决定</w:t>
      </w:r>
    </w:p>
    <w:p>
      <w:pPr>
        <w:snapToGrid w:val="0"/>
        <w:spacing w:beforeLines="0" w:afterLines="0"/>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right="0" w:rightChars="0"/>
        <w:jc w:val="both"/>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 w:eastAsia="zh-CN"/>
        </w:rPr>
        <w:t>珠海通沛股权投资管理合伙企业（有限合伙）：</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宋体" w:eastAsia="仿宋_GB2312"/>
          <w:b w:val="0"/>
          <w:bCs w:val="0"/>
          <w:color w:val="auto"/>
          <w:spacing w:val="-6"/>
          <w:sz w:val="32"/>
          <w:szCs w:val="32"/>
          <w:highlight w:val="none"/>
          <w:lang w:val="en-US" w:eastAsia="zh-CN"/>
        </w:rPr>
      </w:pPr>
      <w:r>
        <w:rPr>
          <w:rFonts w:hint="eastAsia" w:ascii="仿宋_GB2312" w:hAnsi="仿宋_GB2312" w:eastAsia="仿宋_GB2312" w:cs="仿宋_GB2312"/>
          <w:sz w:val="32"/>
          <w:lang w:val="en-US" w:eastAsia="zh-CN"/>
        </w:rPr>
        <w:t>经查，</w:t>
      </w:r>
      <w:r>
        <w:rPr>
          <w:rFonts w:hint="eastAsia" w:ascii="仿宋_GB2312" w:hAnsi="仿宋_GB2312" w:eastAsia="仿宋_GB2312" w:cs="仿宋_GB2312"/>
          <w:b w:val="0"/>
          <w:bCs w:val="0"/>
          <w:sz w:val="32"/>
          <w:lang w:val="en-US" w:eastAsia="zh-CN"/>
        </w:rPr>
        <w:t>你合伙企业在</w:t>
      </w:r>
      <w:r>
        <w:rPr>
          <w:rFonts w:hint="eastAsia" w:ascii="仿宋_GB2312" w:hAnsi="宋体" w:eastAsia="仿宋_GB2312"/>
          <w:b w:val="0"/>
          <w:bCs w:val="0"/>
          <w:color w:val="auto"/>
          <w:sz w:val="32"/>
          <w:szCs w:val="32"/>
          <w:lang w:val="en-US" w:eastAsia="zh-CN"/>
        </w:rPr>
        <w:t>开展私募投资基金管理业务过程中，存在以</w:t>
      </w:r>
      <w:r>
        <w:rPr>
          <w:rFonts w:hint="eastAsia" w:ascii="仿宋_GB2312" w:hAnsi="宋体" w:eastAsia="仿宋_GB2312"/>
          <w:b w:val="0"/>
          <w:bCs w:val="0"/>
          <w:color w:val="auto"/>
          <w:spacing w:val="-6"/>
          <w:sz w:val="32"/>
          <w:szCs w:val="32"/>
          <w:lang w:val="en-US" w:eastAsia="zh-CN"/>
        </w:rPr>
        <w:t>下违规情形：</w:t>
      </w:r>
      <w:r>
        <w:rPr>
          <w:rFonts w:hint="eastAsia" w:ascii="仿宋_GB2312" w:hAnsi="宋体" w:eastAsia="仿宋_GB2312"/>
          <w:b w:val="0"/>
          <w:bCs w:val="0"/>
          <w:color w:val="auto"/>
          <w:spacing w:val="-6"/>
          <w:sz w:val="32"/>
          <w:szCs w:val="32"/>
          <w:highlight w:val="none"/>
          <w:lang w:val="en-US" w:eastAsia="zh-CN"/>
        </w:rPr>
        <w:t>一是为单一项目设立多只基金，投资者人数超过法定限制；二是将基金财产所产生的利息收益以财务顾问费名义收取至你合伙企业账户。</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宋体" w:eastAsia="仿宋_GB2312"/>
          <w:color w:val="auto"/>
          <w:sz w:val="32"/>
          <w:szCs w:val="32"/>
          <w:highlight w:val="none"/>
          <w:lang w:val="en-US" w:eastAsia="zh-CN"/>
        </w:rPr>
      </w:pPr>
      <w:r>
        <w:rPr>
          <w:rFonts w:hint="eastAsia" w:ascii="仿宋_GB2312" w:hAnsi="仿宋_GB2312" w:eastAsia="仿宋_GB2312" w:cs="仿宋_GB2312"/>
          <w:spacing w:val="0"/>
          <w:sz w:val="32"/>
          <w:szCs w:val="30"/>
          <w:highlight w:val="none"/>
          <w:lang w:val="en-US" w:eastAsia="zh-CN"/>
        </w:rPr>
        <w:t>上述行为违反了《私募投资基金监督管理暂行办法》（证监会令第105号，以下简称《私募办法》）第二十三条第三项、第九项，</w:t>
      </w:r>
      <w:r>
        <w:rPr>
          <w:rFonts w:hint="eastAsia" w:ascii="仿宋_GB2312" w:hAnsi="仿宋_GB2312" w:eastAsia="仿宋_GB2312" w:cs="仿宋_GB2312"/>
          <w:b w:val="0"/>
          <w:bCs w:val="0"/>
          <w:kern w:val="2"/>
          <w:sz w:val="32"/>
          <w:szCs w:val="32"/>
          <w:highlight w:val="none"/>
          <w:lang w:val="en-US" w:eastAsia="zh-CN" w:bidi="ar-SA"/>
        </w:rPr>
        <w:t>以及《关于加强私募投资基金监管的若干规定》（证监会公告〔2020〕71号，以下简称《若干规定》）第七条第二款的规定</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
          <w:color w:val="auto"/>
          <w:sz w:val="32"/>
          <w:szCs w:val="30"/>
          <w:lang w:val="en-US" w:eastAsia="zh-CN"/>
        </w:rPr>
      </w:pPr>
      <w:r>
        <w:rPr>
          <w:rFonts w:hint="eastAsia" w:ascii="仿宋_GB2312" w:hAnsi="仿宋_GB2312" w:eastAsia="仿宋_GB2312" w:cs="仿宋"/>
          <w:color w:val="auto"/>
          <w:sz w:val="32"/>
          <w:szCs w:val="30"/>
          <w:lang w:val="en-US" w:eastAsia="zh-CN"/>
        </w:rPr>
        <w:t>根据《私募办法》第三十三条、《若干规定》第十三条第一款的规定，我局决定对</w:t>
      </w:r>
      <w:r>
        <w:rPr>
          <w:rFonts w:hint="eastAsia" w:ascii="仿宋_GB2312" w:hAnsi="仿宋_GB2312" w:eastAsia="仿宋_GB2312" w:cs="仿宋_GB2312"/>
          <w:b w:val="0"/>
          <w:bCs w:val="0"/>
          <w:sz w:val="32"/>
          <w:lang w:val="en-US" w:eastAsia="zh-CN"/>
        </w:rPr>
        <w:t>你合伙企业</w:t>
      </w:r>
      <w:r>
        <w:rPr>
          <w:rFonts w:hint="eastAsia" w:ascii="仿宋_GB2312" w:hAnsi="仿宋_GB2312" w:eastAsia="仿宋_GB2312" w:cs="仿宋"/>
          <w:color w:val="auto"/>
          <w:sz w:val="32"/>
          <w:szCs w:val="30"/>
          <w:lang w:val="en-US" w:eastAsia="zh-CN"/>
        </w:rPr>
        <w:t>采取责令改正的行政监管措施。</w:t>
      </w:r>
      <w:r>
        <w:rPr>
          <w:rFonts w:hint="eastAsia" w:ascii="仿宋_GB2312" w:hAnsi="仿宋_GB2312" w:eastAsia="仿宋_GB2312" w:cs="仿宋_GB2312"/>
          <w:b w:val="0"/>
          <w:bCs w:val="0"/>
          <w:sz w:val="32"/>
          <w:lang w:val="en-US" w:eastAsia="zh-CN"/>
        </w:rPr>
        <w:t>你合伙企业</w:t>
      </w:r>
      <w:r>
        <w:rPr>
          <w:rFonts w:hint="eastAsia" w:ascii="仿宋_GB2312" w:hAnsi="仿宋_GB2312" w:eastAsia="仿宋_GB2312" w:cs="仿宋_GB2312"/>
          <w:sz w:val="32"/>
        </w:rPr>
        <w:t>应</w:t>
      </w:r>
      <w:r>
        <w:rPr>
          <w:rFonts w:hint="eastAsia" w:ascii="仿宋_GB2312" w:hAnsi="仿宋_GB2312" w:eastAsia="仿宋_GB2312" w:cs="仿宋_GB2312"/>
          <w:sz w:val="32"/>
          <w:lang w:eastAsia="zh-CN"/>
        </w:rPr>
        <w:t>高度重视</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采取切实</w:t>
      </w:r>
      <w:r>
        <w:rPr>
          <w:rFonts w:hint="eastAsia" w:ascii="仿宋_GB2312" w:hAnsi="仿宋_GB2312" w:eastAsia="仿宋_GB2312" w:cs="仿宋_GB2312"/>
          <w:spacing w:val="0"/>
          <w:sz w:val="32"/>
          <w:lang w:eastAsia="zh-CN"/>
        </w:rPr>
        <w:t>有效的措施</w:t>
      </w:r>
      <w:r>
        <w:rPr>
          <w:rFonts w:hint="eastAsia" w:ascii="仿宋_GB2312" w:hAnsi="仿宋_GB2312" w:eastAsia="仿宋_GB2312" w:cs="仿宋_GB2312"/>
          <w:spacing w:val="0"/>
          <w:sz w:val="32"/>
        </w:rPr>
        <w:t>，</w:t>
      </w:r>
      <w:r>
        <w:rPr>
          <w:rFonts w:hint="eastAsia" w:ascii="仿宋_GB2312" w:hAnsi="仿宋_GB2312" w:eastAsia="仿宋_GB2312" w:cs="仿宋_GB2312"/>
          <w:spacing w:val="0"/>
          <w:sz w:val="32"/>
          <w:lang w:eastAsia="zh-CN"/>
        </w:rPr>
        <w:t>对存在的问题进行整改，对相关责任人员进行问责，并在收到本决定书之日起</w:t>
      </w:r>
      <w:r>
        <w:rPr>
          <w:rFonts w:hint="eastAsia" w:ascii="仿宋_GB2312" w:hAnsi="仿宋_GB2312" w:eastAsia="仿宋_GB2312" w:cs="仿宋_GB2312"/>
          <w:spacing w:val="0"/>
          <w:sz w:val="32"/>
          <w:lang w:val="en-US" w:eastAsia="zh-CN"/>
        </w:rPr>
        <w:t>30日内</w:t>
      </w:r>
      <w:r>
        <w:rPr>
          <w:rFonts w:hint="eastAsia" w:ascii="仿宋_GB2312" w:hAnsi="仿宋_GB2312" w:eastAsia="仿宋_GB2312" w:cs="仿宋_GB2312"/>
          <w:spacing w:val="0"/>
          <w:sz w:val="32"/>
          <w:lang w:eastAsia="zh-CN"/>
        </w:rPr>
        <w:t>向我局</w:t>
      </w:r>
      <w:r>
        <w:rPr>
          <w:rFonts w:hint="eastAsia" w:ascii="仿宋_GB2312" w:hAnsi="仿宋_GB2312" w:eastAsia="仿宋_GB2312" w:cs="仿宋_GB2312"/>
          <w:spacing w:val="0"/>
          <w:sz w:val="32"/>
        </w:rPr>
        <w:t>提交书面整改报</w:t>
      </w:r>
      <w:r>
        <w:rPr>
          <w:rFonts w:hint="eastAsia" w:ascii="仿宋_GB2312" w:hAnsi="仿宋_GB2312" w:eastAsia="仿宋_GB2312" w:cs="仿宋_GB2312"/>
          <w:sz w:val="32"/>
        </w:rPr>
        <w:t>告</w:t>
      </w:r>
      <w:r>
        <w:rPr>
          <w:rFonts w:hint="eastAsia" w:ascii="仿宋_GB2312" w:hAnsi="仿宋_GB2312" w:eastAsia="仿宋_GB2312" w:cs="仿宋"/>
          <w:color w:val="auto"/>
          <w:sz w:val="32"/>
          <w:szCs w:val="30"/>
          <w:lang w:val="en-US" w:eastAsia="zh-CN"/>
        </w:rPr>
        <w:t>。</w:t>
      </w:r>
    </w:p>
    <w:p>
      <w:pPr>
        <w:overflowPunct w:val="0"/>
        <w:adjustRightInd w:val="0"/>
        <w:snapToGrid w:val="0"/>
        <w:spacing w:beforeLines="0" w:afterLines="0" w:line="336"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b w:val="0"/>
          <w:bCs w:val="0"/>
          <w:sz w:val="32"/>
          <w:lang w:val="en-US" w:eastAsia="zh-CN"/>
        </w:rPr>
        <w:t>你合伙企业</w:t>
      </w:r>
      <w:r>
        <w:rPr>
          <w:rFonts w:hint="eastAsia" w:ascii="仿宋_GB2312" w:hAnsi="仿宋_GB2312" w:eastAsia="仿宋_GB2312" w:cs="仿宋_GB2312"/>
          <w:sz w:val="32"/>
        </w:rPr>
        <w:t>如果对本监督管理措施不服，可以在收到本决定书之日起60日内向中国证券监督管理委员会提出行政复议申请</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也可以在收到本决定书之日起6个月内向有管辖权的人民法院提起诉讼。复议与诉讼期间，上述监督管理措施不停止执行。</w:t>
      </w:r>
    </w:p>
    <w:p>
      <w:pPr>
        <w:pStyle w:val="9"/>
        <w:widowControl w:val="0"/>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widowControl/>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2</w:t>
      </w:r>
      <w:r>
        <w:rPr>
          <w:rFonts w:hint="eastAsia" w:ascii="仿宋_GB2312" w:hAnsi="Times New Roman" w:eastAsia="仿宋_GB2312" w:cs="Times New Roman"/>
          <w:color w:val="000000"/>
          <w:spacing w:val="10"/>
          <w:sz w:val="32"/>
          <w:szCs w:val="32"/>
        </w:rPr>
        <w:t>月</w:t>
      </w:r>
      <w:r>
        <w:rPr>
          <w:rFonts w:hint="default" w:ascii="仿宋_GB2312" w:hAnsi="Times New Roman" w:eastAsia="仿宋_GB2312" w:cs="Times New Roman"/>
          <w:color w:val="000000"/>
          <w:spacing w:val="10"/>
          <w:sz w:val="32"/>
          <w:szCs w:val="32"/>
          <w:lang w:val="en-US"/>
        </w:rPr>
        <w:t>8</w:t>
      </w:r>
      <w:r>
        <w:rPr>
          <w:rFonts w:hint="eastAsia" w:ascii="仿宋_GB2312" w:hAnsi="Times New Roman" w:eastAsia="仿宋_GB2312" w:cs="Times New Roman"/>
          <w:color w:val="000000"/>
          <w:spacing w:val="10"/>
          <w:sz w:val="32"/>
          <w:szCs w:val="32"/>
        </w:rPr>
        <w:t>日</w:t>
      </w: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snapToGrid w:val="0"/>
        <w:spacing w:line="300" w:lineRule="auto"/>
        <w:ind w:right="26"/>
        <w:jc w:val="left"/>
        <w:rPr>
          <w:rFonts w:hint="eastAsia" w:ascii="黑体" w:eastAsia="黑体"/>
          <w:spacing w:val="8"/>
          <w:sz w:val="18"/>
          <w:szCs w:val="18"/>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ascii="长城仿宋" w:eastAsia="长城仿宋"/>
          <w:sz w:val="28"/>
        </w:rPr>
      </w:pPr>
      <w:r>
        <w:rPr>
          <w:rFonts w:hint="eastAsia" w:ascii="仿宋_GB2312" w:eastAsia="仿宋_GB2312"/>
          <w:spacing w:val="8"/>
          <w:sz w:val="28"/>
        </w:rPr>
        <w:t>抄送：会市场二</w:t>
      </w:r>
      <w:r>
        <w:rPr>
          <w:rFonts w:hint="eastAsia" w:ascii="仿宋_GB2312" w:eastAsia="仿宋_GB2312"/>
          <w:spacing w:val="8"/>
          <w:sz w:val="28"/>
          <w:lang w:eastAsia="zh-CN"/>
        </w:rPr>
        <w:t>司</w:t>
      </w:r>
      <w:r>
        <w:rPr>
          <w:rFonts w:hint="eastAsia" w:ascii="仿宋_GB2312" w:eastAsia="仿宋_GB2312"/>
          <w:spacing w:val="8"/>
          <w:sz w:val="28"/>
        </w:rPr>
        <w:t>，</w:t>
      </w:r>
      <w:r>
        <w:rPr>
          <w:rFonts w:hint="eastAsia" w:ascii="仿宋_GB2312" w:eastAsia="仿宋_GB2312"/>
          <w:spacing w:val="8"/>
          <w:sz w:val="28"/>
          <w:lang w:eastAsia="zh-CN"/>
        </w:rPr>
        <w:t>法治司</w:t>
      </w:r>
      <w:r>
        <w:rPr>
          <w:rFonts w:hint="eastAsia" w:ascii="仿宋_GB2312" w:eastAsia="仿宋_GB2312"/>
          <w:spacing w:val="8"/>
          <w:sz w:val="28"/>
        </w:rPr>
        <w:t>；中国证券投资基金业协会</w:t>
      </w:r>
      <w:r>
        <w:rPr>
          <w:rFonts w:hint="eastAsia" w:ascii="仿宋_GB2312" w:eastAsia="仿宋_GB2312"/>
          <w:spacing w:val="8"/>
          <w:sz w:val="28"/>
          <w:lang w:eastAsia="zh-CN"/>
        </w:rPr>
        <w:t>。</w:t>
      </w:r>
    </w:p>
    <w:p>
      <w:pPr>
        <w:pBdr>
          <w:top w:val="single" w:color="auto" w:sz="4" w:space="6"/>
        </w:pBdr>
        <w:adjustRightInd w:val="0"/>
        <w:snapToGrid w:val="0"/>
        <w:spacing w:after="109" w:afterLines="35"/>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rPr>
        <w:t xml:space="preserve">    </w:t>
      </w:r>
      <w:r>
        <w:rPr>
          <w:rFonts w:hint="eastAsia" w:ascii="仿宋_GB2312" w:eastAsia="仿宋_GB2312"/>
          <w:spacing w:val="8"/>
          <w:sz w:val="28"/>
        </w:rPr>
        <w:t xml:space="preserve">  </w:t>
      </w:r>
      <w:r>
        <w:rPr>
          <w:rFonts w:hint="eastAsia" w:ascii="仿宋_GB2312" w:eastAsia="仿宋_GB2312"/>
          <w:spacing w:val="8"/>
          <w:sz w:val="28"/>
          <w:lang w:val="en-US" w:eastAsia="zh-CN"/>
        </w:rPr>
        <w:t xml:space="preserve">  </w:t>
      </w:r>
      <w:r>
        <w:rPr>
          <w:rFonts w:hint="eastAsia" w:ascii="仿宋_GB2312" w:eastAsia="仿宋_GB2312"/>
          <w:spacing w:val="8"/>
          <w:sz w:val="28"/>
          <w:lang w:eastAsia="zh-CN"/>
        </w:rPr>
        <w:t>20</w:t>
      </w:r>
      <w:r>
        <w:rPr>
          <w:rFonts w:hint="eastAsia" w:ascii="仿宋_GB2312" w:eastAsia="仿宋_GB2312"/>
          <w:spacing w:val="8"/>
          <w:sz w:val="28"/>
          <w:lang w:val="en-US" w:eastAsia="zh-CN"/>
        </w:rPr>
        <w:t>25</w:t>
      </w:r>
      <w:r>
        <w:rPr>
          <w:rFonts w:hint="eastAsia" w:ascii="仿宋_GB2312" w:eastAsia="仿宋_GB2312"/>
          <w:spacing w:val="8"/>
          <w:sz w:val="28"/>
        </w:rPr>
        <w:t>年</w:t>
      </w:r>
      <w:r>
        <w:rPr>
          <w:rFonts w:hint="default" w:ascii="仿宋_GB2312" w:eastAsia="仿宋_GB2312"/>
          <w:spacing w:val="8"/>
          <w:sz w:val="28"/>
          <w:lang w:val="en-US" w:eastAsia="zh-CN"/>
        </w:rPr>
        <w:t>2</w:t>
      </w:r>
      <w:r>
        <w:rPr>
          <w:rFonts w:hint="eastAsia" w:ascii="仿宋_GB2312" w:eastAsia="仿宋_GB2312"/>
          <w:spacing w:val="8"/>
          <w:sz w:val="28"/>
        </w:rPr>
        <w:t>月</w:t>
      </w:r>
      <w:r>
        <w:rPr>
          <w:rFonts w:hint="default" w:ascii="仿宋_GB2312" w:eastAsia="仿宋_GB2312"/>
          <w:spacing w:val="8"/>
          <w:sz w:val="28"/>
          <w:lang w:val="en-US"/>
        </w:rPr>
        <w:t>8</w:t>
      </w:r>
      <w:r>
        <w:rPr>
          <w:rFonts w:hint="eastAsia" w:ascii="仿宋_GB2312" w:eastAsia="仿宋_GB2312"/>
          <w:spacing w:val="8"/>
          <w:sz w:val="28"/>
        </w:rPr>
        <w:t>日印发</w:t>
      </w:r>
    </w:p>
    <w:p>
      <w:pPr>
        <w:keepNext w:val="0"/>
        <w:keepLines w:val="0"/>
        <w:pageBreakBefore w:val="0"/>
        <w:pBdr>
          <w:top w:val="single" w:color="auto" w:sz="8" w:space="7"/>
        </w:pBdr>
        <w:kinsoku/>
        <w:wordWrap/>
        <w:overflowPunct/>
        <w:topLinePunct w:val="0"/>
        <w:autoSpaceDE/>
        <w:autoSpaceDN/>
        <w:bidi w:val="0"/>
        <w:adjustRightInd w:val="0"/>
        <w:snapToGrid w:val="0"/>
        <w:spacing w:beforeLines="0" w:after="0" w:afterLines="0" w:line="240" w:lineRule="auto"/>
        <w:ind w:firstLine="0"/>
        <w:jc w:val="left"/>
        <w:textAlignment w:val="auto"/>
        <w:rPr>
          <w:rFonts w:hint="eastAsia" w:ascii="仿宋_GB2312" w:eastAsia="仿宋_GB2312"/>
          <w:spacing w:val="8"/>
          <w:sz w:val="2"/>
          <w:szCs w:val="2"/>
          <w:vertAlign w:val="baseline"/>
        </w:rPr>
      </w:pPr>
    </w:p>
    <w:bookmarkEnd w:id="0"/>
    <w:p>
      <w:pPr>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宋体"/>
    <w:panose1 w:val="02010609000101010101"/>
    <w:charset w:val="00"/>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F911E"/>
    <w:rsid w:val="33EB5969"/>
    <w:rsid w:val="37AF911E"/>
    <w:rsid w:val="7AC96103"/>
    <w:rsid w:val="D9DF3A29"/>
    <w:rsid w:val="E9F61089"/>
    <w:rsid w:val="EBCEE143"/>
    <w:rsid w:val="EDFC304F"/>
    <w:rsid w:val="F7F56408"/>
    <w:rsid w:val="FEF3A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Body Text"/>
    <w:basedOn w:val="1"/>
    <w:unhideWhenUsed/>
    <w:qFormat/>
    <w:uiPriority w:val="99"/>
    <w:pPr>
      <w:jc w:val="center"/>
    </w:pPr>
    <w:rPr>
      <w:rFonts w:eastAsia="黑体"/>
      <w:kern w:val="0"/>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p0"/>
    <w:basedOn w:val="1"/>
    <w:qFormat/>
    <w:uiPriority w:val="0"/>
    <w:pPr>
      <w:widowControl/>
    </w:pPr>
    <w:rPr>
      <w:rFonts w:hint="eastAsia"/>
    </w:rPr>
  </w:style>
  <w:style w:type="paragraph" w:customStyle="1" w:styleId="10">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2024-11-12T09:13:00Z</dcterms:created>
  <dc:creator>林小仪：处室相关人员阅办</dc:creator>
  <cp:lastModifiedBy>林小仪</cp:lastModifiedBy>
  <dcterms:modified xsi:type="dcterms:W3CDTF">2025-02-11T14:09:40Z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E40EB2504B66743974A5526735CEE5C4</vt:lpwstr>
  </property>
</Properties>
</file>