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36"/>
          <w:szCs w:val="36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17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1"/>
          <w:szCs w:val="44"/>
          <w:lang w:eastAsia="zh-CN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pacing w:val="-11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-11"/>
          <w:szCs w:val="44"/>
          <w:lang w:eastAsia="zh-CN"/>
        </w:rPr>
        <w:t>对广东朴度投资管理有限公司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Cs w:val="44"/>
          <w:lang w:eastAsia="zh-CN"/>
        </w:rPr>
        <w:t>采取责令改正</w:t>
      </w:r>
      <w:r>
        <w:rPr>
          <w:rFonts w:hint="eastAsia" w:ascii="方正小标宋简体" w:hAnsi="方正小标宋简体" w:eastAsia="方正小标宋简体" w:cs="方正小标宋简体"/>
          <w:spacing w:val="0"/>
          <w:szCs w:val="44"/>
        </w:rPr>
        <w:t>措施的决定</w:t>
      </w:r>
    </w:p>
    <w:p>
      <w:pPr>
        <w:snapToGrid w:val="0"/>
        <w:spacing w:before="0" w:beforeLines="0" w:afterLines="0" w:line="240" w:lineRule="auto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广东朴度投资管理有限公司：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ind w:firstLine="640" w:firstLineChars="200"/>
        <w:jc w:val="both"/>
        <w:textAlignment w:val="auto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经查，你公司在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开展私募投资基金管理业务过程中，</w:t>
      </w:r>
      <w:r>
        <w:rPr>
          <w:rFonts w:hint="default" w:ascii="仿宋_GB2312" w:hAnsi="宋体" w:eastAsia="仿宋_GB2312"/>
          <w:color w:val="auto"/>
          <w:sz w:val="32"/>
          <w:szCs w:val="32"/>
          <w:lang w:eastAsia="zh-CN"/>
        </w:rPr>
        <w:t>存在以下违规问题：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未按合同约定履行信息披露义务；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二是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未及时更新管理人及从业人员信息；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三是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未妥善保存投资者适当性文件；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四是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未制定产品风险评级制度，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未制定基金产品等级具体划分方法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宋体" w:eastAsia="仿宋_GB2312" w:cs="仿宋_GB2312"/>
          <w:b/>
          <w:bCs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五是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未建立关联交易管理制度。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上述行为违反了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私募投资基金监督管理暂行办法》（证监会令第105号，以下简称《私募办法》）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第二十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eastAsia="zh-CN" w:bidi="ar"/>
        </w:rPr>
        <w:t>四</w:t>
      </w:r>
      <w:r>
        <w:rPr>
          <w:rFonts w:hint="eastAsia" w:ascii="仿宋_GB2312" w:hAnsi="宋体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bidi="ar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、第二十五条第一款、第二十六条、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eastAsia="zh-CN" w:bidi="ar-SA"/>
        </w:rPr>
        <w:t>《证券期货投资者适当性管理办法》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（证监会令第130号，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经证监会令第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177号、第202号修正，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>以下简称《适当性办法》）</w:t>
      </w:r>
      <w:r>
        <w:rPr>
          <w:rFonts w:hint="eastAsia" w:ascii="仿宋_GB2312" w:hAnsi="仿宋_GB2312" w:eastAsia="仿宋_GB2312" w:cs="Times New Roman"/>
          <w:b w:val="0"/>
          <w:bCs w:val="0"/>
          <w:color w:val="000000"/>
          <w:kern w:val="2"/>
          <w:sz w:val="32"/>
          <w:szCs w:val="32"/>
          <w:lang w:eastAsia="zh-CN" w:bidi="ar-SA"/>
        </w:rPr>
        <w:t>第二十九条第一款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《私募投资基金监督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管理条例》（国务院令第762号，以下简称《私募条例》）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第二十八条第一款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规定</w:t>
      </w:r>
      <w:r>
        <w:rPr>
          <w:rFonts w:hint="eastAsia" w:ascii="仿宋_GB2312" w:hAnsi="宋体" w:eastAsia="仿宋_GB2312" w:cs="仿宋_GB2312"/>
          <w:snapToGrid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根据《私募条例》第四十条第二款、《私募办法》第三十三条、《适当性办法》第三十七条的规定，现决定对你公司采取责令改正的行政监管措施。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你公司应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采取切实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有效的措施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对存在的问题进行整改，对相关责任人员进行问责，并在收到本决定书之日起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30日内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向我局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提交书面整改报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</w:t>
      </w:r>
      <w:r>
        <w:rPr>
          <w:rFonts w:hint="eastAsia" w:ascii="仿宋_GB2312" w:hAnsi="仿宋_GB2312" w:eastAsia="仿宋_GB2312" w:cs="仿宋"/>
          <w:color w:val="auto"/>
          <w:sz w:val="32"/>
          <w:szCs w:val="32"/>
          <w:lang w:val="en-US" w:eastAsia="zh-CN"/>
        </w:rPr>
        <w:t>。</w:t>
      </w:r>
    </w:p>
    <w:p>
      <w:pPr>
        <w:overflowPunct w:val="0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如果对本监督管理措施不服，可以在收到本决定书之日起60日内向中国证券监督管理委员会提出行政复议申请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也可以在收到本决定书之日起6个月内向有管辖权的人民法院提起诉讼。复议与诉讼期间，上述监督管理措施不停止执行。</w:t>
      </w:r>
    </w:p>
    <w:p>
      <w:pPr>
        <w:pStyle w:val="9"/>
        <w:widowControl w:val="0"/>
        <w:overflowPunct w:val="0"/>
        <w:snapToGrid w:val="0"/>
        <w:spacing w:line="360" w:lineRule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widowControl/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cs="Times New Roman"/>
          <w:color w:val="000000"/>
          <w:spacing w:val="10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28"/>
        <w:jc w:val="left"/>
        <w:textAlignment w:val="auto"/>
        <w:rPr>
          <w:rFonts w:hint="eastAsia" w:ascii="黑体" w:eastAsia="黑体"/>
          <w:spacing w:val="8"/>
          <w:sz w:val="32"/>
        </w:rPr>
      </w:pPr>
    </w:p>
    <w:p>
      <w:pPr>
        <w:snapToGrid w:val="0"/>
        <w:spacing w:line="300" w:lineRule="auto"/>
        <w:ind w:right="26"/>
        <w:jc w:val="left"/>
        <w:rPr>
          <w:rFonts w:hint="eastAsia" w:ascii="黑体" w:eastAsia="黑体"/>
          <w:spacing w:val="8"/>
          <w:sz w:val="21"/>
          <w:szCs w:val="1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ascii="长城仿宋" w:eastAsia="长城仿宋"/>
          <w:sz w:val="28"/>
        </w:rPr>
      </w:pPr>
      <w:r>
        <w:rPr>
          <w:rFonts w:hint="eastAsia" w:ascii="仿宋_GB2312" w:eastAsia="仿宋_GB2312"/>
          <w:spacing w:val="8"/>
          <w:sz w:val="28"/>
        </w:rPr>
        <w:t>抄送：证监会市场二司，法治司；中国证券投资基金业协会。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jc w:val="left"/>
        <w:textAlignment w:val="auto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/>
        </w:rPr>
        <w:t>27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keepNext w:val="0"/>
        <w:keepLines w:val="0"/>
        <w:pageBreakBefore w:val="0"/>
        <w:widowControl w:val="0"/>
        <w:pBdr>
          <w:top w:val="single" w:color="auto" w:sz="8" w:space="7"/>
        </w:pBd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firstLine="0"/>
        <w:jc w:val="left"/>
        <w:textAlignment w:val="auto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overflowPunct w:val="0"/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仿宋">
    <w:altName w:val="宋体"/>
    <w:panose1 w:val="02010609000101010101"/>
    <w:charset w:val="00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BQAAAAIAIdO4kCzSVju0AAAAAUBAAAP&#10;AAAAAAAAAAEAIAAAADgAAABkcnMvZG93bnJldi54bWxQSwECFAAUAAAACACHTuJAvXQbdjcCAABv&#10;BAAADgAAAAAAAAABACAAAAA1AQAAZHJzL2Uyb0RvYy54bWxQSwECFAAKAAAAAACHTuJAAAAAAAAA&#10;AAAAAAAABAAAAAAAAAAAABAAAAAWAAAAZHJzL1BLAQIUAAoAAAAAAIdO4kAAAAAAAAAAAAAAAAAG&#10;AAAAAAAAAAAAEAAAAJgDAABfcmVscy9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D064E"/>
    <w:rsid w:val="2AAD1615"/>
    <w:rsid w:val="39FEE291"/>
    <w:rsid w:val="3B9BBB59"/>
    <w:rsid w:val="5FF63382"/>
    <w:rsid w:val="67DD29D0"/>
    <w:rsid w:val="67FD064E"/>
    <w:rsid w:val="6A6F4986"/>
    <w:rsid w:val="742F5DF3"/>
    <w:rsid w:val="7DFE59E4"/>
    <w:rsid w:val="7FBF026C"/>
    <w:rsid w:val="BD7EE1F7"/>
    <w:rsid w:val="DBAEABE1"/>
    <w:rsid w:val="DDF69688"/>
    <w:rsid w:val="DFBE0200"/>
    <w:rsid w:val="F7FED4B7"/>
    <w:rsid w:val="F85F9F0D"/>
    <w:rsid w:val="F97F16A3"/>
    <w:rsid w:val="FC7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jc w:val="center"/>
    </w:pPr>
    <w:rPr>
      <w:rFonts w:eastAsia="黑体"/>
      <w:kern w:val="0"/>
      <w:sz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0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2025-01-19T18:08:00Z</dcterms:created>
  <dc:creator>李君达：承办人拟稿</dc:creator>
  <cp:lastModifiedBy>李君达</cp:lastModifiedBy>
  <cp:lastPrinted>2025-01-21T14:08:00Z</cp:lastPrinted>
  <dcterms:modified xsi:type="dcterms:W3CDTF">2025-02-13T10:15:14Z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546866ABC8EF0281B255AD6748C28B6F</vt:lpwstr>
  </property>
</Properties>
</file>