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52"/>
          <w:szCs w:val="52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bookmarkStart w:id="1" w:name="_GoBack"/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eastAsia" w:ascii="仿宋_GB2312" w:eastAsia="仿宋_GB2312" w:cs="Times New Roman"/>
          <w:color w:val="000000"/>
          <w:spacing w:val="12"/>
          <w:sz w:val="28"/>
          <w:lang w:val="en-US" w:eastAsia="zh-CN"/>
        </w:rPr>
        <w:t>3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bookmarkEnd w:id="1"/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0"/>
          <w:right w:val="none" w:color="auto" w:sz="0" w:space="4"/>
        </w:pBdr>
        <w:tabs>
          <w:tab w:val="left" w:pos="420"/>
        </w:tabs>
        <w:snapToGrid w:val="0"/>
        <w:spacing w:line="300" w:lineRule="auto"/>
        <w:jc w:val="both"/>
        <w:outlineLvl w:val="9"/>
        <w:rPr>
          <w:rFonts w:ascii="仿宋_GB2312" w:hAnsi="Times New Roman" w:eastAsia="仿宋_GB2312" w:cs="Times New Roman"/>
          <w:color w:val="000000"/>
          <w:spacing w:val="12"/>
          <w:kern w:val="2"/>
          <w:sz w:val="21"/>
          <w:szCs w:val="21"/>
          <w:lang w:val="en-US" w:eastAsia="zh-CN" w:bidi="ar-SA"/>
        </w:rPr>
      </w:pPr>
      <w:bookmarkStart w:id="0" w:name="quanwen"/>
    </w:p>
    <w:p>
      <w:pPr>
        <w:widowControl/>
        <w:adjustRightInd w:val="0"/>
        <w:snapToGrid w:val="0"/>
        <w:spacing w:beforeLines="0" w:afterLines="0" w:line="240" w:lineRule="auto"/>
        <w:ind w:left="0" w:left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lang w:val="en-US" w:eastAsia="zh-CN"/>
        </w:rPr>
        <w:t>关于对汤秀清采取出具警示函措施的决定</w:t>
      </w:r>
    </w:p>
    <w:p>
      <w:pPr>
        <w:widowControl/>
        <w:adjustRightInd w:val="0"/>
        <w:snapToGrid w:val="0"/>
        <w:spacing w:beforeLines="0" w:afterLines="0" w:line="240" w:lineRule="auto"/>
        <w:ind w:left="0"/>
        <w:jc w:val="center"/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</w:rPr>
      </w:pPr>
    </w:p>
    <w:p>
      <w:pPr>
        <w:widowControl w:val="0"/>
        <w:wordWrap/>
        <w:overflowPunct w:val="0"/>
        <w:adjustRightInd w:val="0"/>
        <w:snapToGrid w:val="0"/>
        <w:spacing w:before="0" w:beforeLines="0" w:after="0" w:afterLines="0" w:line="336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pacing w:val="0"/>
          <w:sz w:val="32"/>
          <w:u w:val="none"/>
          <w:lang w:val="en-US" w:eastAsia="zh-CN"/>
        </w:rPr>
        <w:t>汤秀清</w:t>
      </w:r>
      <w:r>
        <w:rPr>
          <w:rFonts w:hint="eastAsia" w:ascii="仿宋_GB2312" w:hAnsi="仿宋_GB2312" w:eastAsia="仿宋_GB2312"/>
          <w:color w:val="000000"/>
          <w:spacing w:val="0"/>
          <w:sz w:val="32"/>
          <w:highlight w:val="none"/>
          <w:lang w:val="en-US" w:eastAsia="zh-CN"/>
        </w:rPr>
        <w:t>：</w:t>
      </w:r>
    </w:p>
    <w:p>
      <w:pPr>
        <w:pStyle w:val="11"/>
        <w:numPr>
          <w:ilvl w:val="0"/>
          <w:numId w:val="0"/>
        </w:numPr>
        <w:overflowPunct w:val="0"/>
        <w:autoSpaceDE/>
        <w:autoSpaceDN/>
        <w:adjustRightInd w:val="0"/>
        <w:snapToGrid w:val="0"/>
        <w:spacing w:beforeLines="0" w:afterLines="0" w:line="336" w:lineRule="auto"/>
        <w:ind w:firstLine="640" w:firstLineChars="200"/>
        <w:jc w:val="both"/>
        <w:outlineLvl w:val="9"/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0"/>
          <w:highlight w:val="none"/>
          <w:lang w:val="en-US" w:eastAsia="zh-CN"/>
        </w:rPr>
        <w:t>经查，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在广州市昊志机电股份有限公司（以下简称昊志机电）2019年非公开发行股票过程中，你作为公司实控人向广州弘亚数控机械股份有限公司（以下简称弘亚数控）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实控人李茂洪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承诺对青岛昌戎投资管理合伙企业（有限合伙）持有昊志机电股票期间的收益按年化8.5%的收益率进行差额补足。</w:t>
      </w:r>
      <w:r>
        <w:rPr>
          <w:rFonts w:hint="eastAsia" w:ascii="仿宋_GB2312" w:hAnsi="仿宋_GB2312" w:eastAsia="仿宋_GB2312" w:cs="Times New Roman"/>
          <w:sz w:val="32"/>
          <w:szCs w:val="20"/>
          <w:highlight w:val="none"/>
          <w:lang w:val="en-US" w:eastAsia="zh-CN"/>
        </w:rPr>
        <w:t>你向昊志机电非公开发行对象不当承诺收益差额补足，且未及时将保底承诺事项告知上市公司并披露，违反了《上市公司信息披露管理办法》（证监会令第40号，下同）第二条第一款、第四十七条及《证券发行与承销管理办法》（证监会令第144号，下同）第十七条的规定。</w:t>
      </w:r>
    </w:p>
    <w:p>
      <w:pPr>
        <w:pStyle w:val="11"/>
        <w:numPr>
          <w:ilvl w:val="0"/>
          <w:numId w:val="0"/>
        </w:numPr>
        <w:overflowPunct w:val="0"/>
        <w:autoSpaceDE/>
        <w:autoSpaceDN/>
        <w:adjustRightInd w:val="0"/>
        <w:snapToGrid w:val="0"/>
        <w:spacing w:beforeLines="0" w:afterLines="0" w:line="336" w:lineRule="auto"/>
        <w:ind w:firstLine="640" w:firstLineChars="200"/>
        <w:jc w:val="both"/>
        <w:outlineLvl w:val="9"/>
        <w:rPr>
          <w:rFonts w:hint="eastAsia" w:ascii="仿宋_GB2312" w:hAnsi="仿宋_GB2312" w:eastAsia="仿宋_GB2312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根据《上市公司信息披露管理办法》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第五十九条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《证券发行与承销管理办法》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第三十八条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的规定，我局决定对你采取出具警示函的行政监管措施。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你应认真吸取教训，切实加强对证券法律法规的学习，配合上市公司履行信息披露义务，杜绝此类问题再次发生</w:t>
      </w:r>
      <w:r>
        <w:rPr>
          <w:rFonts w:hint="eastAsia" w:ascii="仿宋_GB2312" w:hAnsi="仿宋_GB2312" w:eastAsia="仿宋_GB2312" w:cs="仿宋_GB2312"/>
          <w:kern w:val="0"/>
          <w:sz w:val="32"/>
          <w:highlight w:val="none"/>
        </w:rPr>
        <w:t>，于收到本决定书30日内向我局报送整改报告，并抄报</w:t>
      </w:r>
      <w:r>
        <w:rPr>
          <w:rFonts w:hint="eastAsia" w:ascii="仿宋_GB2312" w:hAnsi="仿宋_GB2312" w:eastAsia="仿宋_GB2312" w:cs="仿宋_GB2312"/>
          <w:kern w:val="0"/>
          <w:sz w:val="32"/>
          <w:highlight w:val="none"/>
          <w:lang w:eastAsia="zh-CN"/>
        </w:rPr>
        <w:t>深圳</w:t>
      </w:r>
      <w:r>
        <w:rPr>
          <w:rFonts w:hint="eastAsia" w:ascii="仿宋_GB2312" w:hAnsi="仿宋_GB2312" w:eastAsia="仿宋_GB2312" w:cs="仿宋_GB2312"/>
          <w:kern w:val="0"/>
          <w:sz w:val="32"/>
          <w:highlight w:val="none"/>
        </w:rPr>
        <w:t>证券交易所</w:t>
      </w:r>
      <w:r>
        <w:rPr>
          <w:rFonts w:hint="eastAsia" w:ascii="仿宋_GB2312" w:hAnsi="仿宋_GB2312" w:eastAsia="仿宋_GB2312"/>
          <w:kern w:val="0"/>
          <w:sz w:val="32"/>
          <w:highlight w:val="none"/>
        </w:rPr>
        <w:t>。</w:t>
      </w:r>
    </w:p>
    <w:p>
      <w:pPr>
        <w:pStyle w:val="11"/>
        <w:numPr>
          <w:ilvl w:val="0"/>
          <w:numId w:val="0"/>
        </w:numPr>
        <w:overflowPunct w:val="0"/>
        <w:autoSpaceDE/>
        <w:autoSpaceDN/>
        <w:adjustRightInd w:val="0"/>
        <w:snapToGrid w:val="0"/>
        <w:spacing w:beforeLines="0" w:afterLines="0" w:line="336" w:lineRule="auto"/>
        <w:ind w:firstLine="640" w:firstLineChars="200"/>
        <w:jc w:val="both"/>
        <w:outlineLvl w:val="9"/>
        <w:rPr>
          <w:rFonts w:hint="eastAsia" w:ascii="仿宋_GB2312" w:eastAsia="仿宋_GB2312"/>
          <w:kern w:val="0"/>
          <w:sz w:val="32"/>
          <w:highlight w:val="none"/>
        </w:rPr>
      </w:pPr>
      <w:r>
        <w:rPr>
          <w:rFonts w:hint="eastAsia" w:ascii="仿宋_GB2312" w:hAnsi="仿宋_GB2312" w:eastAsia="仿宋_GB2312"/>
          <w:kern w:val="0"/>
          <w:sz w:val="32"/>
          <w:highlight w:val="none"/>
        </w:rPr>
        <w:t>如果对本监督管理措施不服，可以在收到本决定书之日起60日内向中国证券监督管理委员会提出行政复议申请,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="0" w:afterLines="0" w:line="360" w:lineRule="auto"/>
        <w:ind w:firstLine="0"/>
        <w:jc w:val="center"/>
        <w:outlineLvl w:val="9"/>
        <w:rPr>
          <w:rFonts w:hint="eastAsia" w:ascii="仿宋_GB2312" w:eastAsia="仿宋_GB2312"/>
          <w:spacing w:val="8"/>
          <w:sz w:val="2"/>
          <w:szCs w:val="2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24"/>
          <w:szCs w:val="24"/>
        </w:rPr>
      </w:pPr>
    </w:p>
    <w:p>
      <w:pPr>
        <w:pBdr>
          <w:top w:val="single" w:color="auto" w:sz="8" w:space="6"/>
        </w:pBdr>
        <w:adjustRightInd w:val="0"/>
        <w:snapToGrid w:val="0"/>
        <w:spacing w:after="109" w:afterLines="35" w:line="240" w:lineRule="auto"/>
        <w:ind w:firstLine="302" w:firstLineChars="100"/>
        <w:rPr>
          <w:rFonts w:ascii="长城仿宋" w:eastAsia="长城仿宋"/>
          <w:spacing w:val="11"/>
          <w:sz w:val="28"/>
        </w:rPr>
      </w:pPr>
      <w:r>
        <w:rPr>
          <w:rFonts w:hint="eastAsia" w:ascii="仿宋_GB2312" w:eastAsia="仿宋_GB2312"/>
          <w:spacing w:val="11"/>
          <w:sz w:val="28"/>
        </w:rPr>
        <w:t>抄送：证监会上市司</w:t>
      </w:r>
      <w:r>
        <w:rPr>
          <w:rFonts w:hint="eastAsia" w:ascii="仿宋_GB2312" w:eastAsia="仿宋_GB2312"/>
          <w:spacing w:val="11"/>
          <w:sz w:val="28"/>
          <w:lang w:eastAsia="zh-CN"/>
        </w:rPr>
        <w:t>、</w:t>
      </w:r>
      <w:r>
        <w:rPr>
          <w:rFonts w:hint="eastAsia" w:ascii="仿宋_GB2312" w:eastAsia="仿宋_GB2312"/>
          <w:spacing w:val="11"/>
          <w:sz w:val="28"/>
        </w:rPr>
        <w:t>法治司；深圳证券交易所。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 w:line="240" w:lineRule="auto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pacing w:val="8"/>
          <w:sz w:val="28"/>
        </w:rPr>
        <w:t xml:space="preserve"> 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spacing w:val="8"/>
          <w:sz w:val="28"/>
          <w:lang w:eastAsia="zh-CN"/>
        </w:rPr>
        <w:t>20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25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8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bidi w:val="0"/>
        <w:adjustRightInd w:val="0"/>
        <w:snapToGrid w:val="0"/>
        <w:spacing w:beforeLines="0" w:after="0" w:afterLines="0" w:line="240" w:lineRule="auto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overflowPunct w:val="0"/>
        <w:adjustRightInd w:val="0"/>
        <w:spacing w:line="336" w:lineRule="auto"/>
        <w:ind w:firstLine="0" w:firstLineChars="0"/>
        <w:outlineLvl w:val="9"/>
        <w:rPr>
          <w:sz w:val="2"/>
          <w:szCs w:val="2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2097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宋体"/>
    <w:panose1 w:val="02010609000101010101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left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left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left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6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3BE535"/>
    <w:rsid w:val="3BBC7247"/>
    <w:rsid w:val="3C75A158"/>
    <w:rsid w:val="3EFD2D3B"/>
    <w:rsid w:val="5ADEB015"/>
    <w:rsid w:val="72BF3F4D"/>
    <w:rsid w:val="7FFFC820"/>
    <w:rsid w:val="BAF76CA4"/>
    <w:rsid w:val="E7FF0972"/>
    <w:rsid w:val="EFFBC474"/>
    <w:rsid w:val="F33BE535"/>
    <w:rsid w:val="F57F99DE"/>
    <w:rsid w:val="FF7DDB27"/>
    <w:rsid w:val="FF9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before="0" w:beforeLines="0" w:after="0" w:afterLines="0" w:line="240" w:lineRule="auto"/>
      <w:ind w:left="0" w:leftChars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1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Calibri" w:eastAsia="宋体" w:cs="Times New Roman"/>
      <w:kern w:val="0"/>
      <w:sz w:val="21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  <w:spacing w:before="0" w:beforeLines="0" w:after="0" w:afterLines="0" w:line="240" w:lineRule="auto"/>
      <w:ind w:left="0" w:leftChars="0"/>
    </w:pPr>
    <w:rPr>
      <w:rFonts w:ascii="Calibri" w:hAnsi="Calibri" w:cs="Calibri"/>
      <w:kern w:val="0"/>
      <w:sz w:val="21"/>
      <w:szCs w:val="21"/>
    </w:rPr>
  </w:style>
  <w:style w:type="paragraph" w:customStyle="1" w:styleId="10">
    <w:name w:val="p17"/>
    <w:basedOn w:val="1"/>
    <w:qFormat/>
    <w:uiPriority w:val="0"/>
    <w:pPr>
      <w:widowControl/>
      <w:spacing w:before="0" w:beforeLines="0" w:after="0" w:afterLines="0" w:line="240" w:lineRule="auto"/>
      <w:ind w:left="0" w:leftChars="0" w:firstLine="420"/>
    </w:pPr>
    <w:rPr>
      <w:rFonts w:ascii="宋体" w:hAnsi="宋体" w:cs="宋体"/>
      <w:kern w:val="0"/>
      <w:sz w:val="21"/>
      <w:szCs w:val="21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</w:pPr>
    <w:rPr>
      <w:rFonts w:hint="eastAsia" w:ascii="仿宋" w:hAnsi="Times New Roman" w:eastAsia="仿宋" w:cs="Times New Roman"/>
      <w:color w:val="000000"/>
      <w:sz w:val="24"/>
      <w:lang w:val="en-US" w:eastAsia="zh-CN"/>
    </w:rPr>
  </w:style>
  <w:style w:type="paragraph" w:customStyle="1" w:styleId="12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2025-04-05T08:44:00Z</dcterms:created>
  <dc:creator>林钰清：主办人拟稿</dc:creator>
  <cp:lastModifiedBy>林钰清</cp:lastModifiedBy>
  <dcterms:modified xsi:type="dcterms:W3CDTF">2025-04-11T16:29:39Z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9160A045E0AA5F37321FF7676E00668C</vt:lpwstr>
  </property>
</Properties>
</file>